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3D5A1B" w:rsidP="00952205">
      <w:pPr>
        <w:jc w:val="center"/>
        <w:outlineLvl w:val="0"/>
        <w:rPr>
          <w:rFonts w:ascii="CG Omega" w:hAnsi="CG Omega"/>
          <w:b/>
        </w:rPr>
      </w:pPr>
      <w:r>
        <w:rPr>
          <w:rFonts w:ascii="CG Omega" w:hAnsi="CG Omega"/>
          <w:b/>
        </w:rPr>
        <w:t>Tuesday</w:t>
      </w:r>
      <w:r w:rsidR="00D57F0C" w:rsidRPr="00C13D54">
        <w:rPr>
          <w:rFonts w:ascii="CG Omega" w:hAnsi="CG Omega"/>
          <w:b/>
        </w:rPr>
        <w:t xml:space="preserve">, </w:t>
      </w:r>
      <w:r w:rsidR="002B7B8C">
        <w:rPr>
          <w:rFonts w:ascii="CG Omega" w:hAnsi="CG Omega"/>
          <w:b/>
        </w:rPr>
        <w:t xml:space="preserve">May </w:t>
      </w:r>
      <w:r w:rsidR="0060743F">
        <w:rPr>
          <w:rFonts w:ascii="CG Omega" w:hAnsi="CG Omega"/>
          <w:b/>
        </w:rPr>
        <w:t>26</w:t>
      </w:r>
      <w:r w:rsidR="005668A4">
        <w:rPr>
          <w:rFonts w:ascii="CG Omega" w:hAnsi="CG Omega"/>
          <w:b/>
        </w:rPr>
        <w:t>, 2015</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w:t>
      </w:r>
      <w:r w:rsidR="003D5A1B">
        <w:rPr>
          <w:rFonts w:ascii="CG Omega" w:hAnsi="CG Omega"/>
        </w:rPr>
        <w:t>Tuesday</w:t>
      </w:r>
      <w:r w:rsidRPr="00C13D54">
        <w:rPr>
          <w:rFonts w:ascii="CG Omega" w:hAnsi="CG Omega"/>
        </w:rPr>
        <w:t xml:space="preserve">, </w:t>
      </w:r>
      <w:r w:rsidR="002B7B8C">
        <w:rPr>
          <w:rFonts w:ascii="CG Omega" w:hAnsi="CG Omega"/>
        </w:rPr>
        <w:t xml:space="preserve">May </w:t>
      </w:r>
      <w:r w:rsidR="0060743F">
        <w:rPr>
          <w:rFonts w:ascii="CG Omega" w:hAnsi="CG Omega"/>
        </w:rPr>
        <w:t>26</w:t>
      </w:r>
      <w:r w:rsidR="005668A4">
        <w:rPr>
          <w:rFonts w:ascii="CG Omega" w:hAnsi="CG Omega"/>
        </w:rPr>
        <w:t>, 2015</w:t>
      </w:r>
      <w:r w:rsidRPr="00C13D54">
        <w:rPr>
          <w:rFonts w:ascii="CG Omega" w:hAnsi="CG Omega"/>
        </w:rPr>
        <w:t xml:space="preserve"> in the Haw River Municipal Building at </w:t>
      </w:r>
      <w:r w:rsidR="00B932B0">
        <w:rPr>
          <w:rFonts w:ascii="CG Omega" w:hAnsi="CG Omega"/>
        </w:rPr>
        <w:t>6:30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2B7B8C">
        <w:rPr>
          <w:rFonts w:ascii="CG Omega" w:hAnsi="CG Omega"/>
        </w:rPr>
        <w:t>Kelly Allen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2B7B8C">
        <w:rPr>
          <w:rFonts w:ascii="CG Omega" w:hAnsi="CG Omega"/>
        </w:rPr>
        <w:t>Ashley Warren</w:t>
      </w:r>
      <w:r w:rsidR="00DB45F5">
        <w:rPr>
          <w:rFonts w:ascii="CG Omega" w:hAnsi="CG Omega"/>
        </w:rPr>
        <w:t>, Jeff Fogleman</w:t>
      </w:r>
    </w:p>
    <w:p w:rsidR="00664F8A" w:rsidRDefault="00D57F0C" w:rsidP="00D57F0C">
      <w:pPr>
        <w:rPr>
          <w:rFonts w:ascii="CG Omega" w:hAnsi="CG Omega"/>
        </w:rPr>
      </w:pPr>
      <w:r w:rsidRPr="00C13D54">
        <w:rPr>
          <w:rFonts w:ascii="CG Omega" w:hAnsi="CG Omega"/>
        </w:rPr>
        <w:t>Also Present: Manager Jeff Earp, Clerk Melanie Hamilton</w:t>
      </w:r>
    </w:p>
    <w:p w:rsidR="002B7B8C" w:rsidRPr="00C13D54" w:rsidRDefault="002B7B8C" w:rsidP="00D57F0C">
      <w:pPr>
        <w:rPr>
          <w:rFonts w:ascii="CG Omega" w:hAnsi="CG Omega"/>
        </w:rPr>
      </w:pPr>
    </w:p>
    <w:p w:rsidR="00B932B0" w:rsidRDefault="00D57F0C" w:rsidP="00B932B0">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B932B0">
        <w:rPr>
          <w:rFonts w:ascii="CG Omega" w:hAnsi="CG Omega"/>
        </w:rPr>
        <w:t>6:30</w:t>
      </w:r>
      <w:r w:rsidRPr="00C13D54">
        <w:rPr>
          <w:rFonts w:ascii="CG Omega" w:hAnsi="CG Omega"/>
        </w:rPr>
        <w:t xml:space="preserve"> pm</w:t>
      </w:r>
      <w:r w:rsidR="00B932B0">
        <w:rPr>
          <w:rFonts w:ascii="CG Omega" w:hAnsi="CG Omega"/>
        </w:rPr>
        <w:t>.</w:t>
      </w:r>
    </w:p>
    <w:p w:rsidR="00763E20" w:rsidRDefault="00763E20" w:rsidP="00B932B0">
      <w:pPr>
        <w:outlineLvl w:val="0"/>
        <w:rPr>
          <w:rFonts w:ascii="CG Omega" w:hAnsi="CG Omega"/>
        </w:rPr>
      </w:pPr>
    </w:p>
    <w:p w:rsidR="002B7B8C" w:rsidRDefault="002B7B8C" w:rsidP="00B932B0">
      <w:pPr>
        <w:outlineLvl w:val="0"/>
        <w:rPr>
          <w:rFonts w:ascii="CG Omega" w:hAnsi="CG Omega"/>
        </w:rPr>
      </w:pPr>
      <w:r>
        <w:rPr>
          <w:rFonts w:ascii="CG Omega" w:hAnsi="CG Omega"/>
        </w:rPr>
        <w:t xml:space="preserve">Manager Earp presented the Council with the following </w:t>
      </w:r>
      <w:r w:rsidR="007779B5">
        <w:rPr>
          <w:rFonts w:ascii="CG Omega" w:hAnsi="CG Omega"/>
        </w:rPr>
        <w:t>2015-2016 Budget Message and proposed budget.</w:t>
      </w:r>
    </w:p>
    <w:p w:rsidR="002B7B8C" w:rsidRDefault="002B7B8C" w:rsidP="00B932B0">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On behalf of the Town of Haw River staff, I am pleased to present to you the fiscal plan for FY 2015-2016. The budget is in balance and has been prepared in accordance with the guidelines set forth in the Local Government Budget and Fiscal Control Act (N.C.G.S. Chapter 159, Article III).  The 2015-16 operating budget totals $3,532,343 and the capital project budget totals $1,025,325, for a total proposed 2015-16 budget of $4,557,668. This proposed budget continues the Town’s commitment to meet the public’s needs for quality, cost efficient government services.  A public hearing of the FY 2015-16 Budget has been scheduled at the Council’s regular meeting on June 1, 2015 at 7:00 p.m. A copy of this budget document will be placed on file with the Town Clerk and will be available for public inspection during normal business hours from now until the June 1, 2015 public hearing. Balancing this budget has been a very long and arduous task which has resulted in a document which continues to meet the Towns’ basic needs in the critical service areas. The budget does not, however, provide all of the funds necessary for the capital needs within the Town of Haw River. The staff and I look forward to working with each of you to implement this budget and to continue our service to the fine citizens of Town of Haw River.</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We have been confronted with challenges next fiscal year that will impact the way we do the business of the Town.  To combat these challenges we have reduced operating cost within our control, eliminated many capital purchases, eliminated existing positions and delayed some facility upgrades.  While we will be able to </w:t>
      </w:r>
      <w:r w:rsidRPr="007779B5">
        <w:rPr>
          <w:rFonts w:ascii="CG Omega" w:hAnsi="CG Omega"/>
        </w:rPr>
        <w:lastRenderedPageBreak/>
        <w:t xml:space="preserve">survive those cuts, we now find ourselves facing a major need to increase funding to address these needs in the next few years.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The Town’s General Fund Budget addresses revenue loss for the Town attributed to State Legislation to eliminate privilege license fees which brought in approximately $20,000.00 in this fiscal year.  The general fund budget also relies on fund balance to create a balanced budget for the second year in a row.  In the short term this will have minimal effect on the town’s finances, but this is not a trend we can sustain long term.  The Town is also experiencing stable Ad valorem tax collections by the county and DMV which has increased the overall collection rate and resulted in increased revenues of real property and vehicle taxes annually.  A continued challenge this year was major medical insurance coverage for employees and retirees. The Town had a 13% increase in premiums, which equated to an increase of approximately $19,313.00 annually.  The Town also had a 33% premium increase in Worker’s Compensation insurance cost, which equated to an increase of approximately $11,000.00 annually.  The General fund also had to incur increases in service cost where the Town depends on other third party entities to provide services such as Burlington for Animal Control and Shelter services, Harris Computer Systems our financial software provider and support and Alamance County 911 that provides dispatch services for town.  All total those cost increased approximately $7,000.00.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The Water and Sewer revenues have been greatly impacted because of the loss of Green Level sewer service sales.  The loss of revenue was approximately $175,000. The Water and Sewer revenues have also been greatly impacted because of inflow and infiltration into our system due to the rain and snow received over the last year.  We have budgeted for a 25% inflow and infiltration rate in the 15-16 budget. The Water and Sewer Budget reflects a 3% increase in rates which is a result of Burlington increasing their rate to us.  In order to adjust the Water and Sewer budget for the loss of Green Level, we have had to recommend a staff reduction of one position in that fund.</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In regards to the Powell Bill fund we are projecting no increase in revenues, and expenditures are remaining constant as we prepare to address street and sidewalk needs.</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The Stormwater fund remains the same and we are preparing to begin the post construction work to comply with the Jordan Lake rules in 2017.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lastRenderedPageBreak/>
        <w:t xml:space="preserve">This budget recommends that the tax rate remain steady at $.48/$100 valuation. The loss of revenue is reflected in the lack of funding for capital purchases and capital projects. While there is a recommendation for staff reduction, this budget has no recommendation for salary increases for the Town staff.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The department heads did an excellent job in preparing their budget recommendations and prioritizing items and issues that were important to their departments.  As you will note some of their recommendations were funded and others were not able to be funded at this time.</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This budget was prepared based on citizen requests and objectives for the town, council’s objectives, and department head objectives have been taken into consideration as well. I am indebted to the employees and council members who sent me their suggestions on budget efficiencies.  As your Manager, I am committed to sustaining the important financial reforms that have restored the stability and credibility of our town. Whatever circumstances we face, be assured that I will lead this Town in a fiscally responsible way and keep my pact with the citizens and Council to put their interests before all others.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I present this document, the Towns Proposed Budget for Fiscal Year 2015-2016, in the strong belief that it provides the surest path to overcoming the Town’s financial challenges, and that it respects both the interests of the taxpayers and our responsibility to future generations.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With the adoption of the 2015-2016 budget, the Town will accomplish these important goals: </w:t>
      </w:r>
    </w:p>
    <w:p w:rsidR="007779B5" w:rsidRPr="007779B5" w:rsidRDefault="007779B5" w:rsidP="007779B5">
      <w:pPr>
        <w:outlineLvl w:val="0"/>
        <w:rPr>
          <w:rFonts w:ascii="CG Omega" w:hAnsi="CG Omega"/>
        </w:rPr>
      </w:pPr>
    </w:p>
    <w:p w:rsidR="007779B5" w:rsidRDefault="007779B5" w:rsidP="007779B5">
      <w:pPr>
        <w:pStyle w:val="ListParagraph"/>
        <w:numPr>
          <w:ilvl w:val="0"/>
          <w:numId w:val="44"/>
        </w:numPr>
        <w:outlineLvl w:val="0"/>
        <w:rPr>
          <w:rFonts w:ascii="CG Omega" w:hAnsi="CG Omega"/>
        </w:rPr>
      </w:pPr>
      <w:r w:rsidRPr="007779B5">
        <w:rPr>
          <w:rFonts w:ascii="CG Omega" w:hAnsi="CG Omega"/>
        </w:rPr>
        <w:t xml:space="preserve">Safeguard our essential core services, including police and fire, streets and water &amp; sewer; </w:t>
      </w:r>
    </w:p>
    <w:p w:rsidR="007779B5" w:rsidRDefault="007779B5" w:rsidP="007779B5">
      <w:pPr>
        <w:pStyle w:val="ListParagraph"/>
        <w:numPr>
          <w:ilvl w:val="0"/>
          <w:numId w:val="44"/>
        </w:numPr>
        <w:outlineLvl w:val="0"/>
        <w:rPr>
          <w:rFonts w:ascii="CG Omega" w:hAnsi="CG Omega"/>
        </w:rPr>
      </w:pPr>
      <w:r w:rsidRPr="007779B5">
        <w:rPr>
          <w:rFonts w:ascii="CG Omega" w:hAnsi="CG Omega"/>
        </w:rPr>
        <w:t xml:space="preserve">Reduce risk to the taxpayers by repairing the town’s assets; </w:t>
      </w:r>
    </w:p>
    <w:p w:rsidR="007779B5" w:rsidRDefault="007779B5" w:rsidP="007779B5">
      <w:pPr>
        <w:pStyle w:val="ListParagraph"/>
        <w:numPr>
          <w:ilvl w:val="0"/>
          <w:numId w:val="44"/>
        </w:numPr>
        <w:outlineLvl w:val="0"/>
        <w:rPr>
          <w:rFonts w:ascii="CG Omega" w:hAnsi="CG Omega"/>
        </w:rPr>
      </w:pPr>
      <w:r w:rsidRPr="007779B5">
        <w:rPr>
          <w:rFonts w:ascii="CG Omega" w:hAnsi="CG Omega"/>
        </w:rPr>
        <w:t xml:space="preserve">Close a projected General Fund budget deficit without cutting services or reducing services at our Recreation and Parks Facilities; </w:t>
      </w:r>
    </w:p>
    <w:p w:rsidR="007779B5" w:rsidRPr="007779B5" w:rsidRDefault="007779B5" w:rsidP="007779B5">
      <w:pPr>
        <w:pStyle w:val="ListParagraph"/>
        <w:numPr>
          <w:ilvl w:val="0"/>
          <w:numId w:val="44"/>
        </w:numPr>
        <w:outlineLvl w:val="0"/>
        <w:rPr>
          <w:rFonts w:ascii="CG Omega" w:hAnsi="CG Omega"/>
        </w:rPr>
      </w:pPr>
      <w:r w:rsidRPr="007779B5">
        <w:rPr>
          <w:rFonts w:ascii="CG Omega" w:hAnsi="CG Omega"/>
        </w:rPr>
        <w:t>Recognize that economic cycles cannot halt our progress, by planning for our future;</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It is my intent that this budget will accomplish these goals despite our increasing financial obligations and state legislation that has lowered revenue growth. To do so, however, we have had to make tough choices, especially when deciding how to reduce the ever-widening portion of our budget that is devoted to </w:t>
      </w:r>
      <w:r w:rsidRPr="007779B5">
        <w:rPr>
          <w:rFonts w:ascii="CG Omega" w:hAnsi="CG Omega"/>
        </w:rPr>
        <w:lastRenderedPageBreak/>
        <w:t xml:space="preserve">compensation, benefits, and retirement costs.  It will also mean exploring new options and ways to accomplish our tasks at hand.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This proposed budget by no means meets all of the “wants and needs” of the parties involved, but I feel the immediate needs of the Town are efficiently met.</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b/>
        </w:rPr>
      </w:pPr>
      <w:r w:rsidRPr="007779B5">
        <w:rPr>
          <w:rFonts w:ascii="CG Omega" w:hAnsi="CG Omega"/>
          <w:b/>
        </w:rPr>
        <w:t>Budget Overview</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The total projected operating budget is $3,532,353, which is approximately a 10% decrease over our current operating budget ($3,915,810), and consists of:  General Fund - $2,010,593 (&lt;1% more than the current $2,013,540); Water and Sewer - $1,435,750 (21% less than the current $1,816,270); Powell Bill fund $63,500 (the same as the current $63,500). Storm Water fund $22,500 (the same as the current $22,500).</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This budget includes the following debt service expenditures:</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 Fire Department Truck payment</w:t>
      </w:r>
      <w:r w:rsidRPr="007779B5">
        <w:rPr>
          <w:rFonts w:ascii="CG Omega" w:hAnsi="CG Omega"/>
        </w:rPr>
        <w:tab/>
      </w:r>
      <w:r w:rsidRPr="007779B5">
        <w:rPr>
          <w:rFonts w:ascii="CG Omega" w:hAnsi="CG Omega"/>
        </w:rPr>
        <w:tab/>
      </w:r>
      <w:r w:rsidRPr="007779B5">
        <w:rPr>
          <w:rFonts w:ascii="CG Omega" w:hAnsi="CG Omega"/>
        </w:rPr>
        <w:tab/>
        <w:t>$ 47,574</w:t>
      </w:r>
    </w:p>
    <w:p w:rsidR="007779B5" w:rsidRPr="007779B5" w:rsidRDefault="007779B5" w:rsidP="007779B5">
      <w:pPr>
        <w:outlineLvl w:val="0"/>
        <w:rPr>
          <w:rFonts w:ascii="CG Omega" w:hAnsi="CG Omega"/>
        </w:rPr>
      </w:pPr>
      <w:r w:rsidRPr="007779B5">
        <w:rPr>
          <w:rFonts w:ascii="CG Omega" w:hAnsi="CG Omega"/>
        </w:rPr>
        <w:t xml:space="preserve"> Police Cars</w:t>
      </w:r>
      <w:r w:rsidRPr="007779B5">
        <w:rPr>
          <w:rFonts w:ascii="CG Omega" w:hAnsi="CG Omega"/>
        </w:rPr>
        <w:tab/>
      </w:r>
      <w:r w:rsidRPr="007779B5">
        <w:rPr>
          <w:rFonts w:ascii="CG Omega" w:hAnsi="CG Omega"/>
        </w:rPr>
        <w:tab/>
      </w:r>
      <w:r w:rsidRPr="007779B5">
        <w:rPr>
          <w:rFonts w:ascii="CG Omega" w:hAnsi="CG Omega"/>
        </w:rPr>
        <w:tab/>
      </w:r>
      <w:r w:rsidRPr="007779B5">
        <w:rPr>
          <w:rFonts w:ascii="CG Omega" w:hAnsi="CG Omega"/>
        </w:rPr>
        <w:tab/>
      </w:r>
      <w:r w:rsidRPr="007779B5">
        <w:rPr>
          <w:rFonts w:ascii="CG Omega" w:hAnsi="CG Omega"/>
        </w:rPr>
        <w:tab/>
        <w:t xml:space="preserve">          $ 18,376</w:t>
      </w:r>
    </w:p>
    <w:p w:rsidR="007779B5" w:rsidRPr="007779B5" w:rsidRDefault="007779B5" w:rsidP="007779B5">
      <w:pPr>
        <w:outlineLvl w:val="0"/>
        <w:rPr>
          <w:rFonts w:ascii="CG Omega" w:hAnsi="CG Omega"/>
        </w:rPr>
      </w:pPr>
      <w:r w:rsidRPr="007779B5">
        <w:rPr>
          <w:rFonts w:ascii="CG Omega" w:hAnsi="CG Omega"/>
        </w:rPr>
        <w:t xml:space="preserve"> Pump Station Replacement Bonds</w:t>
      </w:r>
      <w:r w:rsidRPr="007779B5">
        <w:rPr>
          <w:rFonts w:ascii="CG Omega" w:hAnsi="CG Omega"/>
        </w:rPr>
        <w:tab/>
      </w:r>
      <w:r w:rsidRPr="007779B5">
        <w:rPr>
          <w:rFonts w:ascii="CG Omega" w:hAnsi="CG Omega"/>
        </w:rPr>
        <w:tab/>
        <w:t>$ 33,500</w:t>
      </w:r>
      <w:r w:rsidRPr="007779B5">
        <w:rPr>
          <w:rFonts w:ascii="CG Omega" w:hAnsi="CG Omega"/>
        </w:rPr>
        <w:tab/>
      </w:r>
      <w:r w:rsidRPr="007779B5">
        <w:rPr>
          <w:rFonts w:ascii="CG Omega" w:hAnsi="CG Omega"/>
        </w:rPr>
        <w:tab/>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r w:rsidRPr="007779B5">
        <w:rPr>
          <w:rFonts w:ascii="CG Omega" w:hAnsi="CG Omega"/>
        </w:rPr>
        <w:t xml:space="preserve">The total Water-Sewer Fund Budget reflects a 3% increase in rates from Burlington that is passed on in our rates.  </w:t>
      </w:r>
    </w:p>
    <w:p w:rsidR="007779B5" w:rsidRPr="007779B5" w:rsidRDefault="007779B5" w:rsidP="007779B5">
      <w:pPr>
        <w:outlineLvl w:val="0"/>
        <w:rPr>
          <w:rFonts w:ascii="CG Omega" w:hAnsi="CG Omega"/>
        </w:rPr>
      </w:pPr>
      <w:r w:rsidRPr="007779B5">
        <w:rPr>
          <w:rFonts w:ascii="CG Omega" w:hAnsi="CG Omega"/>
        </w:rPr>
        <w:t xml:space="preserve">                                         </w:t>
      </w:r>
    </w:p>
    <w:p w:rsidR="007779B5" w:rsidRPr="007779B5" w:rsidRDefault="007779B5" w:rsidP="007779B5">
      <w:pPr>
        <w:outlineLvl w:val="0"/>
        <w:rPr>
          <w:rFonts w:ascii="CG Omega" w:hAnsi="CG Omega"/>
        </w:rPr>
      </w:pPr>
      <w:r w:rsidRPr="007779B5">
        <w:rPr>
          <w:rFonts w:ascii="CG Omega" w:hAnsi="CG Omega"/>
        </w:rPr>
        <w:t xml:space="preserve">I am proud of the job that has been done within the Town’s Departments to maintain costs and prioritize expenditures in the 2015-2016 Budget.  </w:t>
      </w:r>
    </w:p>
    <w:p w:rsidR="007779B5" w:rsidRPr="007779B5" w:rsidRDefault="007779B5" w:rsidP="007779B5">
      <w:pPr>
        <w:outlineLvl w:val="0"/>
        <w:rPr>
          <w:rFonts w:ascii="CG Omega" w:hAnsi="CG Omega"/>
        </w:rPr>
      </w:pPr>
    </w:p>
    <w:p w:rsidR="007779B5" w:rsidRP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Default="007779B5" w:rsidP="007779B5">
      <w:pPr>
        <w:outlineLvl w:val="0"/>
        <w:rPr>
          <w:rFonts w:ascii="CG Omega" w:hAnsi="CG Omega"/>
        </w:rPr>
      </w:pPr>
    </w:p>
    <w:p w:rsidR="007779B5" w:rsidRPr="007779B5" w:rsidRDefault="007779B5" w:rsidP="007779B5">
      <w:pPr>
        <w:pStyle w:val="BodyText"/>
        <w:rPr>
          <w:rFonts w:ascii="CG Omega" w:hAnsi="CG Omega"/>
          <w:b/>
          <w:szCs w:val="24"/>
        </w:rPr>
      </w:pPr>
      <w:r w:rsidRPr="007779B5">
        <w:rPr>
          <w:rFonts w:ascii="CG Omega" w:hAnsi="CG Omega"/>
          <w:b/>
          <w:szCs w:val="24"/>
        </w:rPr>
        <w:lastRenderedPageBreak/>
        <w:t>Key Points</w:t>
      </w:r>
    </w:p>
    <w:p w:rsidR="007779B5" w:rsidRPr="007779B5" w:rsidRDefault="007779B5" w:rsidP="007779B5">
      <w:pPr>
        <w:pStyle w:val="BodyText"/>
        <w:rPr>
          <w:rFonts w:ascii="CG Omega" w:hAnsi="CG Omega"/>
          <w:szCs w:val="24"/>
        </w:rPr>
      </w:pPr>
      <w:r w:rsidRPr="007779B5">
        <w:rPr>
          <w:rFonts w:ascii="CG Omega" w:hAnsi="CG Omega"/>
          <w:szCs w:val="24"/>
        </w:rPr>
        <w:t>The key points to keep in mind as you review the proposed budget are:</w:t>
      </w:r>
    </w:p>
    <w:p w:rsidR="007779B5" w:rsidRPr="007779B5" w:rsidRDefault="007779B5" w:rsidP="007779B5">
      <w:pPr>
        <w:pStyle w:val="BodyText"/>
        <w:rPr>
          <w:rFonts w:ascii="CG Omega" w:hAnsi="CG Omega"/>
          <w:szCs w:val="24"/>
        </w:rPr>
      </w:pPr>
    </w:p>
    <w:p w:rsidR="007779B5" w:rsidRDefault="007779B5" w:rsidP="007779B5">
      <w:pPr>
        <w:pStyle w:val="BodyText"/>
        <w:numPr>
          <w:ilvl w:val="0"/>
          <w:numId w:val="45"/>
        </w:numPr>
        <w:rPr>
          <w:rFonts w:ascii="CG Omega" w:hAnsi="CG Omega"/>
          <w:szCs w:val="24"/>
        </w:rPr>
      </w:pPr>
      <w:r w:rsidRPr="007779B5">
        <w:rPr>
          <w:rFonts w:ascii="CG Omega" w:hAnsi="CG Omega"/>
          <w:szCs w:val="24"/>
          <w:u w:val="single"/>
        </w:rPr>
        <w:t>2015-2016 Tax Levy</w:t>
      </w:r>
      <w:r w:rsidRPr="007779B5">
        <w:rPr>
          <w:rFonts w:ascii="CG Omega" w:hAnsi="CG Omega"/>
          <w:szCs w:val="24"/>
        </w:rPr>
        <w:t xml:space="preserve">:  In this year’s proposed budget, the property tax base decreased slightly. I am recommending that the tax rate remain the same at 48 cents per $100 evaluation.  Total property tax revenue is estimated at approximately $703,935. </w:t>
      </w:r>
    </w:p>
    <w:p w:rsidR="007779B5" w:rsidRDefault="007779B5" w:rsidP="007779B5">
      <w:pPr>
        <w:pStyle w:val="BodyText"/>
        <w:numPr>
          <w:ilvl w:val="0"/>
          <w:numId w:val="45"/>
        </w:numPr>
        <w:rPr>
          <w:rFonts w:ascii="CG Omega" w:hAnsi="CG Omega"/>
          <w:szCs w:val="24"/>
        </w:rPr>
      </w:pPr>
      <w:r w:rsidRPr="007779B5">
        <w:rPr>
          <w:rFonts w:ascii="CG Omega" w:hAnsi="CG Omega"/>
          <w:szCs w:val="24"/>
          <w:u w:val="single"/>
        </w:rPr>
        <w:t>The General Fund Revenue Sources</w:t>
      </w:r>
      <w:r w:rsidRPr="007779B5">
        <w:rPr>
          <w:rFonts w:ascii="CG Omega" w:hAnsi="CG Omega"/>
          <w:szCs w:val="24"/>
        </w:rPr>
        <w:t xml:space="preserve">: The General Fund receives revenue from a number of sources, some are restricted, some are non-restricted, some are local tax dollars, and some are not.  </w:t>
      </w:r>
    </w:p>
    <w:p w:rsidR="007779B5" w:rsidRDefault="007779B5" w:rsidP="007779B5">
      <w:pPr>
        <w:pStyle w:val="BodyText"/>
        <w:numPr>
          <w:ilvl w:val="0"/>
          <w:numId w:val="45"/>
        </w:numPr>
        <w:rPr>
          <w:rFonts w:ascii="CG Omega" w:hAnsi="CG Omega"/>
          <w:szCs w:val="24"/>
        </w:rPr>
      </w:pPr>
      <w:r w:rsidRPr="007779B5">
        <w:rPr>
          <w:rFonts w:ascii="CG Omega" w:hAnsi="CG Omega"/>
          <w:szCs w:val="24"/>
          <w:u w:val="single"/>
        </w:rPr>
        <w:t>Local Revenues in the General Fund Budget</w:t>
      </w:r>
      <w:r w:rsidRPr="007779B5">
        <w:rPr>
          <w:rFonts w:ascii="CG Omega" w:hAnsi="CG Omega"/>
          <w:szCs w:val="24"/>
        </w:rPr>
        <w:t>: The Budget Message provides an overview of the budget.  A full review of the comprehensive budget will provide answers as to where the discretionary portions of the General Fund budget are allotted.</w:t>
      </w:r>
    </w:p>
    <w:p w:rsidR="007779B5" w:rsidRDefault="007779B5" w:rsidP="007779B5">
      <w:pPr>
        <w:pStyle w:val="BodyText"/>
        <w:numPr>
          <w:ilvl w:val="0"/>
          <w:numId w:val="45"/>
        </w:numPr>
        <w:rPr>
          <w:rFonts w:ascii="CG Omega" w:hAnsi="CG Omega"/>
          <w:szCs w:val="24"/>
        </w:rPr>
      </w:pPr>
      <w:r w:rsidRPr="007779B5">
        <w:rPr>
          <w:rFonts w:ascii="CG Omega" w:hAnsi="CG Omega"/>
          <w:szCs w:val="24"/>
          <w:u w:val="single"/>
        </w:rPr>
        <w:t>What a Penny is Worth</w:t>
      </w:r>
      <w:r w:rsidRPr="007779B5">
        <w:rPr>
          <w:rFonts w:ascii="CG Omega" w:hAnsi="CG Omega"/>
          <w:szCs w:val="24"/>
        </w:rPr>
        <w:t>: Each penny on the tax rate will generate approximately $14,665.00 in General Fund revenue.</w:t>
      </w:r>
    </w:p>
    <w:p w:rsidR="007779B5" w:rsidRDefault="007779B5" w:rsidP="007779B5">
      <w:pPr>
        <w:pStyle w:val="BodyText"/>
        <w:numPr>
          <w:ilvl w:val="0"/>
          <w:numId w:val="45"/>
        </w:numPr>
        <w:rPr>
          <w:rFonts w:ascii="CG Omega" w:hAnsi="CG Omega"/>
          <w:szCs w:val="24"/>
        </w:rPr>
      </w:pPr>
      <w:r w:rsidRPr="007779B5">
        <w:rPr>
          <w:rFonts w:ascii="CG Omega" w:hAnsi="CG Omega"/>
          <w:szCs w:val="24"/>
          <w:u w:val="single"/>
        </w:rPr>
        <w:t>Garbage and Recycling fee</w:t>
      </w:r>
      <w:r w:rsidRPr="007779B5">
        <w:rPr>
          <w:rFonts w:ascii="CG Omega" w:hAnsi="CG Omega"/>
          <w:szCs w:val="24"/>
        </w:rPr>
        <w:t>: The fee is recommended to stay the same at $9.50 per household.</w:t>
      </w:r>
    </w:p>
    <w:p w:rsidR="007779B5" w:rsidRPr="007779B5" w:rsidRDefault="007779B5" w:rsidP="007779B5">
      <w:pPr>
        <w:pStyle w:val="BodyText"/>
        <w:numPr>
          <w:ilvl w:val="0"/>
          <w:numId w:val="45"/>
        </w:numPr>
        <w:rPr>
          <w:rFonts w:ascii="CG Omega" w:hAnsi="CG Omega"/>
          <w:szCs w:val="24"/>
        </w:rPr>
      </w:pPr>
      <w:r w:rsidRPr="007779B5">
        <w:rPr>
          <w:rFonts w:ascii="CG Omega" w:hAnsi="CG Omega"/>
          <w:szCs w:val="24"/>
          <w:u w:val="single"/>
        </w:rPr>
        <w:t>Storm water Fee</w:t>
      </w:r>
      <w:r w:rsidRPr="007779B5">
        <w:rPr>
          <w:rFonts w:ascii="CG Omega" w:hAnsi="CG Omega"/>
          <w:szCs w:val="24"/>
        </w:rPr>
        <w:t>:  The budget calls for the storm water fee to stay the same at $2 a month assessment.</w:t>
      </w: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Pr>
        <w:pStyle w:val="Heading5"/>
      </w:pPr>
    </w:p>
    <w:p w:rsidR="007779B5" w:rsidRDefault="007779B5" w:rsidP="007779B5"/>
    <w:p w:rsidR="00DB45F5" w:rsidRDefault="00DB45F5" w:rsidP="007779B5"/>
    <w:p w:rsidR="00DB45F5" w:rsidRPr="00DB45F5" w:rsidRDefault="00DB45F5" w:rsidP="00DB45F5">
      <w:pPr>
        <w:pStyle w:val="Heading5"/>
        <w:rPr>
          <w:b/>
          <w:u w:val="single"/>
        </w:rPr>
      </w:pPr>
      <w:r w:rsidRPr="00DB45F5">
        <w:rPr>
          <w:b/>
          <w:u w:val="single"/>
        </w:rPr>
        <w:lastRenderedPageBreak/>
        <w:t>Budget Overview Chart</w:t>
      </w:r>
    </w:p>
    <w:p w:rsidR="00DB45F5" w:rsidRPr="00020CA0" w:rsidRDefault="00DB45F5" w:rsidP="00DB45F5">
      <w:pPr>
        <w:jc w:val="both"/>
        <w:rPr>
          <w:sz w:val="26"/>
          <w:szCs w:val="26"/>
        </w:rPr>
      </w:pPr>
      <w:r w:rsidRPr="00020CA0">
        <w:rPr>
          <w:sz w:val="26"/>
          <w:szCs w:val="26"/>
        </w:rPr>
        <w:t xml:space="preserve">This budget </w:t>
      </w:r>
      <w:r>
        <w:rPr>
          <w:sz w:val="26"/>
          <w:szCs w:val="26"/>
        </w:rPr>
        <w:t>moderately decreases</w:t>
      </w:r>
      <w:r w:rsidRPr="00020CA0">
        <w:rPr>
          <w:sz w:val="26"/>
          <w:szCs w:val="26"/>
        </w:rPr>
        <w:t xml:space="preserve"> spending levels above the funding level of last year.  See comparison below:</w:t>
      </w:r>
    </w:p>
    <w:p w:rsidR="00DB45F5" w:rsidRDefault="00DB45F5" w:rsidP="00DB4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DB45F5" w:rsidRPr="00D86FED" w:rsidTr="00EE7C1A">
        <w:tc>
          <w:tcPr>
            <w:tcW w:w="9576" w:type="dxa"/>
          </w:tcPr>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9"/>
              <w:gridCol w:w="1474"/>
              <w:gridCol w:w="1525"/>
              <w:gridCol w:w="1525"/>
              <w:gridCol w:w="1525"/>
            </w:tblGrid>
            <w:tr w:rsidR="00DB45F5" w:rsidRPr="00221903" w:rsidTr="00EE7C1A">
              <w:trPr>
                <w:trHeight w:val="795"/>
              </w:trPr>
              <w:tc>
                <w:tcPr>
                  <w:tcW w:w="3239" w:type="dxa"/>
                  <w:noWrap/>
                  <w:vAlign w:val="bottom"/>
                </w:tcPr>
                <w:p w:rsidR="00DB45F5" w:rsidRPr="00D75FF0" w:rsidRDefault="00DB45F5" w:rsidP="00EE7C1A">
                  <w:pPr>
                    <w:rPr>
                      <w:rFonts w:ascii="Arial" w:hAnsi="Arial" w:cs="Arial"/>
                      <w:sz w:val="20"/>
                    </w:rPr>
                  </w:pPr>
                </w:p>
              </w:tc>
              <w:tc>
                <w:tcPr>
                  <w:tcW w:w="1474" w:type="dxa"/>
                </w:tcPr>
                <w:p w:rsidR="00DB45F5" w:rsidRPr="00D75FF0" w:rsidRDefault="00DB45F5" w:rsidP="00EE7C1A">
                  <w:pPr>
                    <w:jc w:val="center"/>
                    <w:rPr>
                      <w:rFonts w:ascii="Arial" w:hAnsi="Arial" w:cs="Arial"/>
                      <w:b/>
                      <w:bCs/>
                      <w:sz w:val="20"/>
                    </w:rPr>
                  </w:pPr>
                </w:p>
                <w:p w:rsidR="00DB45F5" w:rsidRPr="00D75FF0" w:rsidRDefault="00DB45F5" w:rsidP="00EE7C1A">
                  <w:pPr>
                    <w:jc w:val="center"/>
                    <w:rPr>
                      <w:rFonts w:ascii="Arial" w:hAnsi="Arial" w:cs="Arial"/>
                      <w:b/>
                      <w:bCs/>
                      <w:sz w:val="20"/>
                    </w:rPr>
                  </w:pPr>
                  <w:r w:rsidRPr="00D75FF0">
                    <w:rPr>
                      <w:rFonts w:ascii="Arial" w:hAnsi="Arial" w:cs="Arial"/>
                      <w:b/>
                      <w:bCs/>
                      <w:sz w:val="20"/>
                    </w:rPr>
                    <w:t>Approved</w:t>
                  </w:r>
                </w:p>
                <w:p w:rsidR="00DB45F5" w:rsidRPr="00D75FF0" w:rsidRDefault="00DB45F5" w:rsidP="00EE7C1A">
                  <w:pPr>
                    <w:jc w:val="center"/>
                    <w:rPr>
                      <w:rFonts w:ascii="Arial" w:hAnsi="Arial" w:cs="Arial"/>
                      <w:b/>
                      <w:bCs/>
                      <w:sz w:val="20"/>
                    </w:rPr>
                  </w:pPr>
                  <w:r w:rsidRPr="00D75FF0">
                    <w:rPr>
                      <w:rFonts w:ascii="Arial" w:hAnsi="Arial" w:cs="Arial"/>
                      <w:b/>
                      <w:bCs/>
                      <w:sz w:val="20"/>
                    </w:rPr>
                    <w:t>20</w:t>
                  </w:r>
                  <w:r>
                    <w:rPr>
                      <w:rFonts w:ascii="Arial" w:hAnsi="Arial" w:cs="Arial"/>
                      <w:b/>
                      <w:bCs/>
                      <w:sz w:val="20"/>
                    </w:rPr>
                    <w:t>12</w:t>
                  </w:r>
                  <w:r w:rsidRPr="00D75FF0">
                    <w:rPr>
                      <w:rFonts w:ascii="Arial" w:hAnsi="Arial" w:cs="Arial"/>
                      <w:b/>
                      <w:bCs/>
                      <w:sz w:val="20"/>
                    </w:rPr>
                    <w:t>-20</w:t>
                  </w:r>
                  <w:r>
                    <w:rPr>
                      <w:rFonts w:ascii="Arial" w:hAnsi="Arial" w:cs="Arial"/>
                      <w:b/>
                      <w:bCs/>
                      <w:sz w:val="20"/>
                    </w:rPr>
                    <w:t>13</w:t>
                  </w:r>
                </w:p>
                <w:p w:rsidR="00DB45F5" w:rsidRPr="00D75FF0" w:rsidRDefault="00DB45F5" w:rsidP="00EE7C1A">
                  <w:pPr>
                    <w:jc w:val="center"/>
                    <w:rPr>
                      <w:rFonts w:ascii="Arial" w:hAnsi="Arial" w:cs="Arial"/>
                      <w:b/>
                      <w:bCs/>
                      <w:sz w:val="20"/>
                    </w:rPr>
                  </w:pPr>
                  <w:r w:rsidRPr="00D75FF0">
                    <w:rPr>
                      <w:rFonts w:ascii="Arial" w:hAnsi="Arial" w:cs="Arial"/>
                      <w:b/>
                      <w:bCs/>
                      <w:sz w:val="20"/>
                    </w:rPr>
                    <w:t>Budget</w:t>
                  </w:r>
                </w:p>
              </w:tc>
              <w:tc>
                <w:tcPr>
                  <w:tcW w:w="1525" w:type="dxa"/>
                  <w:vAlign w:val="bottom"/>
                </w:tcPr>
                <w:p w:rsidR="00DB45F5" w:rsidRPr="00D75FF0" w:rsidRDefault="00DB45F5" w:rsidP="00EE7C1A">
                  <w:pPr>
                    <w:pStyle w:val="Heading3"/>
                  </w:pPr>
                  <w:r w:rsidRPr="00D75FF0">
                    <w:t>Approved</w:t>
                  </w:r>
                </w:p>
                <w:p w:rsidR="00DB45F5" w:rsidRPr="00D75FF0" w:rsidRDefault="00DB45F5" w:rsidP="00EE7C1A">
                  <w:pPr>
                    <w:jc w:val="center"/>
                    <w:rPr>
                      <w:rFonts w:ascii="Arial" w:hAnsi="Arial" w:cs="Arial"/>
                      <w:b/>
                      <w:bCs/>
                      <w:sz w:val="20"/>
                    </w:rPr>
                  </w:pPr>
                  <w:r w:rsidRPr="00D75FF0">
                    <w:rPr>
                      <w:rFonts w:ascii="Arial" w:hAnsi="Arial" w:cs="Arial"/>
                      <w:b/>
                      <w:bCs/>
                      <w:sz w:val="20"/>
                    </w:rPr>
                    <w:t>20</w:t>
                  </w:r>
                  <w:r>
                    <w:rPr>
                      <w:rFonts w:ascii="Arial" w:hAnsi="Arial" w:cs="Arial"/>
                      <w:b/>
                      <w:bCs/>
                      <w:sz w:val="20"/>
                    </w:rPr>
                    <w:t>13</w:t>
                  </w:r>
                  <w:r w:rsidRPr="00D75FF0">
                    <w:rPr>
                      <w:rFonts w:ascii="Arial" w:hAnsi="Arial" w:cs="Arial"/>
                      <w:b/>
                      <w:bCs/>
                      <w:sz w:val="20"/>
                    </w:rPr>
                    <w:t>-20</w:t>
                  </w:r>
                  <w:r>
                    <w:rPr>
                      <w:rFonts w:ascii="Arial" w:hAnsi="Arial" w:cs="Arial"/>
                      <w:b/>
                      <w:bCs/>
                      <w:sz w:val="20"/>
                    </w:rPr>
                    <w:t>14</w:t>
                  </w:r>
                  <w:r w:rsidRPr="00D75FF0">
                    <w:rPr>
                      <w:rFonts w:ascii="Arial" w:hAnsi="Arial" w:cs="Arial"/>
                      <w:b/>
                      <w:bCs/>
                      <w:sz w:val="20"/>
                    </w:rPr>
                    <w:t xml:space="preserve"> Budget</w:t>
                  </w:r>
                </w:p>
              </w:tc>
              <w:tc>
                <w:tcPr>
                  <w:tcW w:w="1525" w:type="dxa"/>
                </w:tcPr>
                <w:p w:rsidR="00DB45F5" w:rsidRPr="00D75FF0" w:rsidRDefault="00DB45F5" w:rsidP="00EE7C1A">
                  <w:pPr>
                    <w:jc w:val="center"/>
                    <w:rPr>
                      <w:rFonts w:ascii="Arial" w:hAnsi="Arial" w:cs="Arial"/>
                      <w:b/>
                      <w:bCs/>
                      <w:sz w:val="18"/>
                      <w:szCs w:val="18"/>
                    </w:rPr>
                  </w:pPr>
                </w:p>
                <w:p w:rsidR="00DB45F5" w:rsidRPr="00D75FF0" w:rsidRDefault="00DB45F5" w:rsidP="00EE7C1A">
                  <w:pPr>
                    <w:jc w:val="center"/>
                    <w:rPr>
                      <w:rFonts w:ascii="Arial" w:hAnsi="Arial" w:cs="Arial"/>
                      <w:b/>
                      <w:bCs/>
                      <w:sz w:val="18"/>
                      <w:szCs w:val="18"/>
                    </w:rPr>
                  </w:pPr>
                  <w:r w:rsidRPr="00D75FF0">
                    <w:rPr>
                      <w:rFonts w:ascii="Arial" w:hAnsi="Arial" w:cs="Arial"/>
                      <w:b/>
                      <w:bCs/>
                      <w:sz w:val="18"/>
                      <w:szCs w:val="18"/>
                    </w:rPr>
                    <w:t>Approved</w:t>
                  </w:r>
                </w:p>
                <w:p w:rsidR="00DB45F5" w:rsidRPr="00D75FF0" w:rsidRDefault="00DB45F5" w:rsidP="00EE7C1A">
                  <w:pPr>
                    <w:jc w:val="center"/>
                    <w:rPr>
                      <w:rFonts w:ascii="Arial" w:hAnsi="Arial" w:cs="Arial"/>
                      <w:b/>
                      <w:bCs/>
                      <w:sz w:val="20"/>
                    </w:rPr>
                  </w:pPr>
                  <w:r w:rsidRPr="00D75FF0">
                    <w:rPr>
                      <w:rFonts w:ascii="Arial" w:hAnsi="Arial" w:cs="Arial"/>
                      <w:b/>
                      <w:bCs/>
                      <w:sz w:val="20"/>
                    </w:rPr>
                    <w:t>20</w:t>
                  </w:r>
                  <w:r>
                    <w:rPr>
                      <w:rFonts w:ascii="Arial" w:hAnsi="Arial" w:cs="Arial"/>
                      <w:b/>
                      <w:bCs/>
                      <w:sz w:val="20"/>
                    </w:rPr>
                    <w:t>14</w:t>
                  </w:r>
                  <w:r w:rsidRPr="00D75FF0">
                    <w:rPr>
                      <w:rFonts w:ascii="Arial" w:hAnsi="Arial" w:cs="Arial"/>
                      <w:b/>
                      <w:bCs/>
                      <w:sz w:val="20"/>
                    </w:rPr>
                    <w:t>-20</w:t>
                  </w:r>
                  <w:r>
                    <w:rPr>
                      <w:rFonts w:ascii="Arial" w:hAnsi="Arial" w:cs="Arial"/>
                      <w:b/>
                      <w:bCs/>
                      <w:sz w:val="20"/>
                    </w:rPr>
                    <w:t>15</w:t>
                  </w:r>
                </w:p>
                <w:p w:rsidR="00DB45F5" w:rsidRPr="00D75FF0" w:rsidRDefault="00DB45F5" w:rsidP="00EE7C1A">
                  <w:pPr>
                    <w:jc w:val="center"/>
                    <w:rPr>
                      <w:rFonts w:ascii="Arial" w:hAnsi="Arial" w:cs="Arial"/>
                      <w:b/>
                      <w:bCs/>
                      <w:sz w:val="18"/>
                      <w:szCs w:val="18"/>
                    </w:rPr>
                  </w:pPr>
                  <w:r w:rsidRPr="00D75FF0">
                    <w:rPr>
                      <w:rFonts w:ascii="Arial" w:hAnsi="Arial" w:cs="Arial"/>
                      <w:b/>
                      <w:bCs/>
                      <w:sz w:val="20"/>
                    </w:rPr>
                    <w:t>Budget</w:t>
                  </w:r>
                </w:p>
              </w:tc>
              <w:tc>
                <w:tcPr>
                  <w:tcW w:w="1525" w:type="dxa"/>
                </w:tcPr>
                <w:p w:rsidR="00DB45F5" w:rsidRPr="00D75FF0" w:rsidRDefault="00DB45F5" w:rsidP="00EE7C1A">
                  <w:pPr>
                    <w:jc w:val="center"/>
                    <w:rPr>
                      <w:rFonts w:ascii="Arial" w:hAnsi="Arial" w:cs="Arial"/>
                      <w:b/>
                      <w:bCs/>
                      <w:sz w:val="18"/>
                      <w:szCs w:val="18"/>
                    </w:rPr>
                  </w:pPr>
                </w:p>
                <w:p w:rsidR="00DB45F5" w:rsidRPr="00D75FF0" w:rsidRDefault="00DB45F5" w:rsidP="00EE7C1A">
                  <w:pPr>
                    <w:jc w:val="center"/>
                    <w:rPr>
                      <w:rFonts w:ascii="Arial" w:hAnsi="Arial" w:cs="Arial"/>
                      <w:b/>
                      <w:bCs/>
                      <w:sz w:val="18"/>
                      <w:szCs w:val="18"/>
                    </w:rPr>
                  </w:pPr>
                  <w:r w:rsidRPr="00D75FF0">
                    <w:rPr>
                      <w:rFonts w:ascii="Arial" w:hAnsi="Arial" w:cs="Arial"/>
                      <w:b/>
                      <w:bCs/>
                      <w:sz w:val="18"/>
                      <w:szCs w:val="18"/>
                    </w:rPr>
                    <w:t>Recommended</w:t>
                  </w:r>
                </w:p>
                <w:p w:rsidR="00DB45F5" w:rsidRPr="00D75FF0" w:rsidRDefault="00DB45F5" w:rsidP="00EE7C1A">
                  <w:pPr>
                    <w:jc w:val="center"/>
                    <w:rPr>
                      <w:rFonts w:ascii="Arial" w:hAnsi="Arial" w:cs="Arial"/>
                      <w:b/>
                      <w:bCs/>
                      <w:sz w:val="20"/>
                    </w:rPr>
                  </w:pPr>
                  <w:r w:rsidRPr="00D75FF0">
                    <w:rPr>
                      <w:rFonts w:ascii="Arial" w:hAnsi="Arial" w:cs="Arial"/>
                      <w:b/>
                      <w:bCs/>
                      <w:sz w:val="20"/>
                    </w:rPr>
                    <w:t>201</w:t>
                  </w:r>
                  <w:r>
                    <w:rPr>
                      <w:rFonts w:ascii="Arial" w:hAnsi="Arial" w:cs="Arial"/>
                      <w:b/>
                      <w:bCs/>
                      <w:sz w:val="20"/>
                    </w:rPr>
                    <w:t>5</w:t>
                  </w:r>
                  <w:r w:rsidRPr="00D75FF0">
                    <w:rPr>
                      <w:rFonts w:ascii="Arial" w:hAnsi="Arial" w:cs="Arial"/>
                      <w:b/>
                      <w:bCs/>
                      <w:sz w:val="20"/>
                    </w:rPr>
                    <w:t>-201</w:t>
                  </w:r>
                  <w:r>
                    <w:rPr>
                      <w:rFonts w:ascii="Arial" w:hAnsi="Arial" w:cs="Arial"/>
                      <w:b/>
                      <w:bCs/>
                      <w:sz w:val="20"/>
                    </w:rPr>
                    <w:t>6</w:t>
                  </w:r>
                </w:p>
                <w:p w:rsidR="00DB45F5" w:rsidRPr="00D75FF0" w:rsidRDefault="00DB45F5" w:rsidP="00EE7C1A">
                  <w:pPr>
                    <w:jc w:val="center"/>
                    <w:rPr>
                      <w:rFonts w:ascii="Arial" w:hAnsi="Arial" w:cs="Arial"/>
                      <w:b/>
                      <w:bCs/>
                      <w:sz w:val="18"/>
                      <w:szCs w:val="18"/>
                    </w:rPr>
                  </w:pPr>
                  <w:r w:rsidRPr="00D75FF0">
                    <w:rPr>
                      <w:rFonts w:ascii="Arial" w:hAnsi="Arial" w:cs="Arial"/>
                      <w:b/>
                      <w:bCs/>
                      <w:sz w:val="20"/>
                    </w:rPr>
                    <w:t>Budget</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GENERAL FUND</w:t>
                  </w:r>
                </w:p>
              </w:tc>
              <w:tc>
                <w:tcPr>
                  <w:tcW w:w="1474" w:type="dxa"/>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Governing Body</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 xml:space="preserve">  16,050</w:t>
                  </w:r>
                  <w:r w:rsidRPr="00D75FF0">
                    <w:rPr>
                      <w:rFonts w:ascii="Arial" w:hAnsi="Arial" w:cs="Arial"/>
                      <w:sz w:val="20"/>
                    </w:rPr>
                    <w:t>.00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15,750.00 </w:t>
                  </w:r>
                </w:p>
              </w:tc>
              <w:tc>
                <w:tcPr>
                  <w:tcW w:w="1525" w:type="dxa"/>
                  <w:vAlign w:val="bottom"/>
                </w:tcPr>
                <w:p w:rsidR="00DB45F5" w:rsidRPr="00D75FF0" w:rsidRDefault="00DB45F5" w:rsidP="00EE7C1A">
                  <w:pPr>
                    <w:rPr>
                      <w:rFonts w:ascii="Arial" w:hAnsi="Arial" w:cs="Arial"/>
                      <w:sz w:val="20"/>
                    </w:rPr>
                  </w:pPr>
                  <w:r>
                    <w:rPr>
                      <w:rFonts w:ascii="Arial" w:hAnsi="Arial" w:cs="Arial"/>
                      <w:sz w:val="20"/>
                    </w:rPr>
                    <w:t xml:space="preserve">      15,9</w:t>
                  </w:r>
                  <w:r w:rsidRPr="00D75FF0">
                    <w:rPr>
                      <w:rFonts w:ascii="Arial" w:hAnsi="Arial" w:cs="Arial"/>
                      <w:sz w:val="20"/>
                    </w:rPr>
                    <w:t xml:space="preserve">50.00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15,</w:t>
                  </w:r>
                  <w:r>
                    <w:rPr>
                      <w:rFonts w:ascii="Arial" w:hAnsi="Arial" w:cs="Arial"/>
                      <w:sz w:val="20"/>
                    </w:rPr>
                    <w:t>55</w:t>
                  </w:r>
                  <w:r w:rsidRPr="00D75FF0">
                    <w:rPr>
                      <w:rFonts w:ascii="Arial" w:hAnsi="Arial" w:cs="Arial"/>
                      <w:sz w:val="20"/>
                    </w:rPr>
                    <w:t xml:space="preserve">0.00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Administration</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244,482.00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185,443.41</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203,368.00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203,638.00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Public Buildings</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 xml:space="preserve">  40,360.00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39,500.00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61,500.00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39,500.00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Police Department</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602,891.44</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608,962.09</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615,727.00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624,009.00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Fire Department</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336,085.00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343,479.61</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337,794.00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344,874.00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Streets and Highways (PW)</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146,646.96</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273,567.92</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355,682.00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351,515.00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Sanitation</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146,500.00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152,700.00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105,500.00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105,500.00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Parks &amp; Recreation</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202,182.64</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161,369.02</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163,474.00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165,425.00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Non-Departmental</w:t>
                  </w:r>
                </w:p>
              </w:tc>
              <w:tc>
                <w:tcPr>
                  <w:tcW w:w="1474" w:type="dxa"/>
                  <w:vAlign w:val="bottom"/>
                </w:tcPr>
                <w:p w:rsidR="00DB45F5" w:rsidRPr="00D75FF0" w:rsidRDefault="00DB45F5" w:rsidP="00EE7C1A">
                  <w:pPr>
                    <w:rPr>
                      <w:rFonts w:ascii="Arial" w:hAnsi="Arial" w:cs="Arial"/>
                      <w:sz w:val="20"/>
                    </w:rPr>
                  </w:pPr>
                  <w:r w:rsidRPr="00D75FF0">
                    <w:rPr>
                      <w:rFonts w:ascii="Arial" w:hAnsi="Arial" w:cs="Arial"/>
                      <w:sz w:val="20"/>
                    </w:rPr>
                    <w:t>174,945.00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177,203.00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154,545.00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160,582.00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GENERAL FUND TOTALS</w:t>
                  </w:r>
                </w:p>
              </w:tc>
              <w:tc>
                <w:tcPr>
                  <w:tcW w:w="1474" w:type="dxa"/>
                  <w:vAlign w:val="bottom"/>
                </w:tcPr>
                <w:p w:rsidR="00DB45F5" w:rsidRPr="00D75FF0" w:rsidRDefault="00DB45F5" w:rsidP="00EE7C1A">
                  <w:pPr>
                    <w:rPr>
                      <w:rFonts w:ascii="Arial" w:hAnsi="Arial" w:cs="Arial"/>
                      <w:b/>
                      <w:i/>
                      <w:sz w:val="20"/>
                    </w:rPr>
                  </w:pPr>
                  <w:r>
                    <w:rPr>
                      <w:rFonts w:ascii="Arial" w:hAnsi="Arial" w:cs="Arial"/>
                      <w:b/>
                      <w:i/>
                      <w:sz w:val="20"/>
                    </w:rPr>
                    <w:t>1,910,143.04</w:t>
                  </w:r>
                </w:p>
              </w:tc>
              <w:tc>
                <w:tcPr>
                  <w:tcW w:w="1525"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w:t>
                  </w:r>
                  <w:r>
                    <w:rPr>
                      <w:rFonts w:ascii="Arial" w:hAnsi="Arial" w:cs="Arial"/>
                      <w:b/>
                      <w:bCs/>
                      <w:sz w:val="20"/>
                    </w:rPr>
                    <w:t>1,957,975.05</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w:t>
                  </w:r>
                  <w:r>
                    <w:rPr>
                      <w:rFonts w:ascii="Arial" w:hAnsi="Arial" w:cs="Arial"/>
                      <w:b/>
                      <w:bCs/>
                      <w:sz w:val="20"/>
                    </w:rPr>
                    <w:t>2,013,540.00</w:t>
                  </w:r>
                  <w:r w:rsidRPr="00D75FF0">
                    <w:rPr>
                      <w:rFonts w:ascii="Arial" w:hAnsi="Arial" w:cs="Arial"/>
                      <w:b/>
                      <w:bCs/>
                      <w:sz w:val="20"/>
                    </w:rPr>
                    <w:t xml:space="preserve"> </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w:t>
                  </w:r>
                  <w:r>
                    <w:rPr>
                      <w:rFonts w:ascii="Arial" w:hAnsi="Arial" w:cs="Arial"/>
                      <w:b/>
                      <w:bCs/>
                      <w:sz w:val="20"/>
                    </w:rPr>
                    <w:t>2,010,593.00</w:t>
                  </w:r>
                  <w:r w:rsidRPr="00D75FF0">
                    <w:rPr>
                      <w:rFonts w:ascii="Arial" w:hAnsi="Arial" w:cs="Arial"/>
                      <w:b/>
                      <w:bCs/>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p>
              </w:tc>
              <w:tc>
                <w:tcPr>
                  <w:tcW w:w="1474" w:type="dxa"/>
                  <w:vAlign w:val="bottom"/>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POWELL BILL FUND</w:t>
                  </w:r>
                </w:p>
              </w:tc>
              <w:tc>
                <w:tcPr>
                  <w:tcW w:w="1474" w:type="dxa"/>
                  <w:vAlign w:val="bottom"/>
                </w:tcPr>
                <w:p w:rsidR="00DB45F5" w:rsidRPr="00D75FF0" w:rsidRDefault="00DB45F5" w:rsidP="00EE7C1A">
                  <w:pPr>
                    <w:rPr>
                      <w:rFonts w:ascii="Arial" w:hAnsi="Arial" w:cs="Arial"/>
                      <w:b/>
                      <w:i/>
                      <w:sz w:val="20"/>
                    </w:rPr>
                  </w:pPr>
                  <w:r>
                    <w:rPr>
                      <w:rFonts w:ascii="Arial" w:hAnsi="Arial" w:cs="Arial"/>
                      <w:b/>
                      <w:i/>
                      <w:sz w:val="20"/>
                    </w:rPr>
                    <w:t>146,500.00</w:t>
                  </w:r>
                </w:p>
              </w:tc>
              <w:tc>
                <w:tcPr>
                  <w:tcW w:w="1525"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87,000.00 </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w:t>
                  </w:r>
                  <w:r>
                    <w:rPr>
                      <w:rFonts w:ascii="Arial" w:hAnsi="Arial" w:cs="Arial"/>
                      <w:b/>
                      <w:bCs/>
                      <w:sz w:val="20"/>
                    </w:rPr>
                    <w:t>63,500.00</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63,500.00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p>
              </w:tc>
              <w:tc>
                <w:tcPr>
                  <w:tcW w:w="1474" w:type="dxa"/>
                  <w:vAlign w:val="bottom"/>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221903" w:rsidTr="00EE7C1A">
              <w:trPr>
                <w:trHeight w:val="255"/>
              </w:trPr>
              <w:tc>
                <w:tcPr>
                  <w:tcW w:w="3239" w:type="dxa"/>
                  <w:noWrap/>
                  <w:vAlign w:val="bottom"/>
                </w:tcPr>
                <w:p w:rsidR="00DB45F5" w:rsidRPr="00D75FF0" w:rsidRDefault="00DB45F5" w:rsidP="00EE7C1A">
                  <w:pPr>
                    <w:pStyle w:val="Heading1"/>
                  </w:pPr>
                  <w:r w:rsidRPr="00D75FF0">
                    <w:rPr>
                      <w:bCs w:val="0"/>
                    </w:rPr>
                    <w:t>WATER &amp; SEWER FUND</w:t>
                  </w:r>
                </w:p>
              </w:tc>
              <w:tc>
                <w:tcPr>
                  <w:tcW w:w="1474" w:type="dxa"/>
                  <w:vAlign w:val="bottom"/>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Administration</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176,903.40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153,462.91</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187,913.00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181,256.00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b/>
                      <w:bCs/>
                      <w:sz w:val="20"/>
                    </w:rPr>
                  </w:pPr>
                  <w:r w:rsidRPr="00D75FF0">
                    <w:rPr>
                      <w:rFonts w:ascii="Arial" w:hAnsi="Arial" w:cs="Arial"/>
                      <w:sz w:val="20"/>
                    </w:rPr>
                    <w:t>Water Department</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723,566.00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668,129.80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731,279.00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724,013.00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sz w:val="20"/>
                    </w:rPr>
                    <w:t>Sewer Department</w:t>
                  </w:r>
                </w:p>
              </w:tc>
              <w:tc>
                <w:tcPr>
                  <w:tcW w:w="1474" w:type="dxa"/>
                  <w:vAlign w:val="bottom"/>
                </w:tcPr>
                <w:p w:rsidR="00DB45F5" w:rsidRPr="00D75FF0" w:rsidRDefault="00DB45F5" w:rsidP="00EE7C1A">
                  <w:pPr>
                    <w:rPr>
                      <w:rFonts w:ascii="Arial" w:hAnsi="Arial" w:cs="Arial"/>
                      <w:sz w:val="20"/>
                    </w:rPr>
                  </w:pPr>
                  <w:r>
                    <w:rPr>
                      <w:rFonts w:ascii="Arial" w:hAnsi="Arial" w:cs="Arial"/>
                      <w:sz w:val="20"/>
                    </w:rPr>
                    <w:t>754,248.00</w:t>
                  </w: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912,537.31</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897,078.00</w:t>
                  </w:r>
                  <w:r w:rsidRPr="00D75FF0">
                    <w:rPr>
                      <w:rFonts w:ascii="Arial" w:hAnsi="Arial" w:cs="Arial"/>
                      <w:sz w:val="20"/>
                    </w:rPr>
                    <w:t xml:space="preserve">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xml:space="preserve">         </w:t>
                  </w:r>
                  <w:r>
                    <w:rPr>
                      <w:rFonts w:ascii="Arial" w:hAnsi="Arial" w:cs="Arial"/>
                      <w:sz w:val="20"/>
                    </w:rPr>
                    <w:t>530,481.00</w:t>
                  </w:r>
                  <w:r w:rsidRPr="00D75FF0">
                    <w:rPr>
                      <w:rFonts w:ascii="Arial" w:hAnsi="Arial" w:cs="Arial"/>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r w:rsidRPr="00D75FF0">
                    <w:rPr>
                      <w:rFonts w:ascii="Arial" w:hAnsi="Arial" w:cs="Arial"/>
                      <w:b/>
                      <w:bCs/>
                      <w:sz w:val="20"/>
                    </w:rPr>
                    <w:t>WATER &amp; SEWER FUND TOTALS</w:t>
                  </w:r>
                </w:p>
              </w:tc>
              <w:tc>
                <w:tcPr>
                  <w:tcW w:w="1474" w:type="dxa"/>
                  <w:vAlign w:val="bottom"/>
                </w:tcPr>
                <w:p w:rsidR="00DB45F5" w:rsidRPr="00D75FF0" w:rsidRDefault="00DB45F5" w:rsidP="00EE7C1A">
                  <w:pPr>
                    <w:rPr>
                      <w:rFonts w:ascii="Arial" w:hAnsi="Arial" w:cs="Arial"/>
                      <w:sz w:val="20"/>
                    </w:rPr>
                  </w:pPr>
                  <w:r w:rsidRPr="00D75FF0">
                    <w:rPr>
                      <w:rFonts w:ascii="Arial" w:hAnsi="Arial" w:cs="Arial"/>
                      <w:b/>
                      <w:i/>
                      <w:sz w:val="20"/>
                    </w:rPr>
                    <w:t>1,</w:t>
                  </w:r>
                  <w:r>
                    <w:rPr>
                      <w:rFonts w:ascii="Arial" w:hAnsi="Arial" w:cs="Arial"/>
                      <w:b/>
                      <w:i/>
                      <w:sz w:val="20"/>
                    </w:rPr>
                    <w:t>654,717.40</w:t>
                  </w:r>
                </w:p>
              </w:tc>
              <w:tc>
                <w:tcPr>
                  <w:tcW w:w="1525"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1,</w:t>
                  </w:r>
                  <w:r>
                    <w:rPr>
                      <w:rFonts w:ascii="Arial" w:hAnsi="Arial" w:cs="Arial"/>
                      <w:b/>
                      <w:bCs/>
                      <w:sz w:val="20"/>
                    </w:rPr>
                    <w:t>734,130.02</w:t>
                  </w:r>
                  <w:r w:rsidRPr="00D75FF0">
                    <w:rPr>
                      <w:rFonts w:ascii="Arial" w:hAnsi="Arial" w:cs="Arial"/>
                      <w:b/>
                      <w:bCs/>
                      <w:sz w:val="20"/>
                    </w:rPr>
                    <w:t xml:space="preserve"> </w:t>
                  </w:r>
                </w:p>
              </w:tc>
              <w:tc>
                <w:tcPr>
                  <w:tcW w:w="1525" w:type="dxa"/>
                  <w:vAlign w:val="bottom"/>
                </w:tcPr>
                <w:p w:rsidR="00DB45F5" w:rsidRPr="00D75FF0" w:rsidRDefault="00DB45F5" w:rsidP="00EE7C1A">
                  <w:pPr>
                    <w:rPr>
                      <w:rFonts w:ascii="Arial" w:hAnsi="Arial" w:cs="Arial"/>
                      <w:b/>
                      <w:bCs/>
                      <w:sz w:val="20"/>
                    </w:rPr>
                  </w:pPr>
                  <w:r>
                    <w:rPr>
                      <w:rFonts w:ascii="Arial" w:hAnsi="Arial" w:cs="Arial"/>
                      <w:b/>
                      <w:bCs/>
                      <w:sz w:val="20"/>
                    </w:rPr>
                    <w:t>1,816,270.00</w:t>
                  </w:r>
                  <w:r w:rsidRPr="00D75FF0">
                    <w:rPr>
                      <w:rFonts w:ascii="Arial" w:hAnsi="Arial" w:cs="Arial"/>
                      <w:b/>
                      <w:bCs/>
                      <w:sz w:val="20"/>
                    </w:rPr>
                    <w:t xml:space="preserve"> </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1,</w:t>
                  </w:r>
                  <w:r>
                    <w:rPr>
                      <w:rFonts w:ascii="Arial" w:hAnsi="Arial" w:cs="Arial"/>
                      <w:b/>
                      <w:bCs/>
                      <w:sz w:val="20"/>
                    </w:rPr>
                    <w:t>435,750.00</w:t>
                  </w:r>
                  <w:r w:rsidRPr="00D75FF0">
                    <w:rPr>
                      <w:rFonts w:ascii="Arial" w:hAnsi="Arial" w:cs="Arial"/>
                      <w:b/>
                      <w:bCs/>
                      <w:sz w:val="20"/>
                    </w:rPr>
                    <w:t xml:space="preserve">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p>
              </w:tc>
              <w:tc>
                <w:tcPr>
                  <w:tcW w:w="1474" w:type="dxa"/>
                  <w:vAlign w:val="bottom"/>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STORMWATER FUND</w:t>
                  </w:r>
                </w:p>
              </w:tc>
              <w:tc>
                <w:tcPr>
                  <w:tcW w:w="1474" w:type="dxa"/>
                  <w:vAlign w:val="bottom"/>
                </w:tcPr>
                <w:p w:rsidR="00DB45F5" w:rsidRPr="00E24ECE" w:rsidRDefault="00DB45F5" w:rsidP="00EE7C1A">
                  <w:pPr>
                    <w:rPr>
                      <w:rFonts w:ascii="Arial" w:hAnsi="Arial" w:cs="Arial"/>
                      <w:b/>
                      <w:i/>
                      <w:sz w:val="20"/>
                    </w:rPr>
                  </w:pPr>
                  <w:r w:rsidRPr="00E24ECE">
                    <w:rPr>
                      <w:rFonts w:ascii="Arial" w:hAnsi="Arial" w:cs="Arial"/>
                      <w:b/>
                      <w:sz w:val="20"/>
                    </w:rPr>
                    <w:t>22,000.00</w:t>
                  </w:r>
                </w:p>
              </w:tc>
              <w:tc>
                <w:tcPr>
                  <w:tcW w:w="1525"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22,000.00 </w:t>
                  </w:r>
                </w:p>
              </w:tc>
              <w:tc>
                <w:tcPr>
                  <w:tcW w:w="1525" w:type="dxa"/>
                  <w:vAlign w:val="bottom"/>
                </w:tcPr>
                <w:p w:rsidR="00DB45F5" w:rsidRPr="00D75FF0" w:rsidRDefault="00DB45F5" w:rsidP="00EE7C1A">
                  <w:pPr>
                    <w:rPr>
                      <w:rFonts w:ascii="Arial" w:hAnsi="Arial" w:cs="Arial"/>
                      <w:b/>
                      <w:bCs/>
                      <w:sz w:val="20"/>
                    </w:rPr>
                  </w:pPr>
                  <w:r>
                    <w:rPr>
                      <w:rFonts w:ascii="Arial" w:hAnsi="Arial" w:cs="Arial"/>
                      <w:b/>
                      <w:bCs/>
                      <w:sz w:val="20"/>
                    </w:rPr>
                    <w:t xml:space="preserve">      22,5</w:t>
                  </w:r>
                  <w:r w:rsidRPr="00D75FF0">
                    <w:rPr>
                      <w:rFonts w:ascii="Arial" w:hAnsi="Arial" w:cs="Arial"/>
                      <w:b/>
                      <w:bCs/>
                      <w:sz w:val="20"/>
                    </w:rPr>
                    <w:t xml:space="preserve">00.00 </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22,500.00 </w:t>
                  </w:r>
                </w:p>
              </w:tc>
            </w:tr>
            <w:tr w:rsidR="00DB45F5" w:rsidRPr="00221903" w:rsidTr="00EE7C1A">
              <w:trPr>
                <w:trHeight w:val="255"/>
              </w:trPr>
              <w:tc>
                <w:tcPr>
                  <w:tcW w:w="3239" w:type="dxa"/>
                  <w:noWrap/>
                  <w:vAlign w:val="bottom"/>
                </w:tcPr>
                <w:p w:rsidR="00DB45F5" w:rsidRPr="00D75FF0" w:rsidRDefault="00DB45F5" w:rsidP="00EE7C1A">
                  <w:pPr>
                    <w:rPr>
                      <w:rFonts w:ascii="Arial" w:hAnsi="Arial" w:cs="Arial"/>
                      <w:sz w:val="20"/>
                    </w:rPr>
                  </w:pPr>
                </w:p>
              </w:tc>
              <w:tc>
                <w:tcPr>
                  <w:tcW w:w="1474" w:type="dxa"/>
                  <w:vAlign w:val="bottom"/>
                </w:tcPr>
                <w:p w:rsidR="00DB45F5" w:rsidRPr="00D75FF0" w:rsidRDefault="00DB45F5" w:rsidP="00EE7C1A">
                  <w:pPr>
                    <w:rPr>
                      <w:rFonts w:ascii="Arial" w:hAnsi="Arial" w:cs="Arial"/>
                      <w:sz w:val="20"/>
                    </w:rPr>
                  </w:pPr>
                </w:p>
              </w:tc>
              <w:tc>
                <w:tcPr>
                  <w:tcW w:w="1525" w:type="dxa"/>
                  <w:noWrap/>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c>
                <w:tcPr>
                  <w:tcW w:w="1525" w:type="dxa"/>
                  <w:vAlign w:val="bottom"/>
                </w:tcPr>
                <w:p w:rsidR="00DB45F5" w:rsidRPr="00D75FF0" w:rsidRDefault="00DB45F5" w:rsidP="00EE7C1A">
                  <w:pPr>
                    <w:rPr>
                      <w:rFonts w:ascii="Arial" w:hAnsi="Arial" w:cs="Arial"/>
                      <w:sz w:val="20"/>
                    </w:rPr>
                  </w:pPr>
                  <w:r w:rsidRPr="00D75FF0">
                    <w:rPr>
                      <w:rFonts w:ascii="Arial" w:hAnsi="Arial" w:cs="Arial"/>
                      <w:sz w:val="20"/>
                    </w:rPr>
                    <w:t> </w:t>
                  </w:r>
                </w:p>
              </w:tc>
            </w:tr>
            <w:tr w:rsidR="00DB45F5" w:rsidRPr="00A16D0E" w:rsidTr="00EE7C1A">
              <w:trPr>
                <w:trHeight w:val="255"/>
              </w:trPr>
              <w:tc>
                <w:tcPr>
                  <w:tcW w:w="3239" w:type="dxa"/>
                  <w:shd w:val="clear" w:color="000000" w:fill="000000"/>
                  <w:noWrap/>
                  <w:vAlign w:val="bottom"/>
                </w:tcPr>
                <w:p w:rsidR="00DB45F5" w:rsidRPr="00D75FF0" w:rsidRDefault="00DB45F5" w:rsidP="00EE7C1A">
                  <w:pPr>
                    <w:rPr>
                      <w:rFonts w:ascii="Arial" w:hAnsi="Arial" w:cs="Arial"/>
                      <w:b/>
                      <w:bCs/>
                      <w:sz w:val="20"/>
                    </w:rPr>
                  </w:pPr>
                  <w:r>
                    <w:rPr>
                      <w:rFonts w:ascii="Arial" w:hAnsi="Arial" w:cs="Arial"/>
                      <w:b/>
                      <w:bCs/>
                      <w:sz w:val="20"/>
                    </w:rPr>
                    <w:t>TOTAL BUDGET</w:t>
                  </w:r>
                </w:p>
              </w:tc>
              <w:tc>
                <w:tcPr>
                  <w:tcW w:w="1474" w:type="dxa"/>
                  <w:vAlign w:val="bottom"/>
                </w:tcPr>
                <w:p w:rsidR="00DB45F5" w:rsidRPr="00D75FF0" w:rsidRDefault="00DB45F5" w:rsidP="00EE7C1A">
                  <w:pPr>
                    <w:rPr>
                      <w:rFonts w:ascii="Arial" w:hAnsi="Arial" w:cs="Arial"/>
                      <w:sz w:val="20"/>
                    </w:rPr>
                  </w:pPr>
                  <w:r>
                    <w:rPr>
                      <w:rFonts w:ascii="Arial" w:hAnsi="Arial" w:cs="Arial"/>
                      <w:b/>
                      <w:bCs/>
                      <w:i/>
                      <w:sz w:val="20"/>
                    </w:rPr>
                    <w:t>3,733,390.44</w:t>
                  </w:r>
                </w:p>
              </w:tc>
              <w:tc>
                <w:tcPr>
                  <w:tcW w:w="1525" w:type="dxa"/>
                  <w:noWrap/>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3,</w:t>
                  </w:r>
                  <w:r>
                    <w:rPr>
                      <w:rFonts w:ascii="Arial" w:hAnsi="Arial" w:cs="Arial"/>
                      <w:b/>
                      <w:bCs/>
                      <w:sz w:val="20"/>
                    </w:rPr>
                    <w:t>801,105.07</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3,</w:t>
                  </w:r>
                  <w:r>
                    <w:rPr>
                      <w:rFonts w:ascii="Arial" w:hAnsi="Arial" w:cs="Arial"/>
                      <w:b/>
                      <w:bCs/>
                      <w:sz w:val="20"/>
                    </w:rPr>
                    <w:t>915,810.00</w:t>
                  </w:r>
                  <w:r w:rsidRPr="00D75FF0">
                    <w:rPr>
                      <w:rFonts w:ascii="Arial" w:hAnsi="Arial" w:cs="Arial"/>
                      <w:b/>
                      <w:bCs/>
                      <w:sz w:val="20"/>
                    </w:rPr>
                    <w:t xml:space="preserve"> </w:t>
                  </w:r>
                </w:p>
              </w:tc>
              <w:tc>
                <w:tcPr>
                  <w:tcW w:w="1525" w:type="dxa"/>
                  <w:vAlign w:val="bottom"/>
                </w:tcPr>
                <w:p w:rsidR="00DB45F5" w:rsidRPr="00D75FF0" w:rsidRDefault="00DB45F5" w:rsidP="00EE7C1A">
                  <w:pPr>
                    <w:rPr>
                      <w:rFonts w:ascii="Arial" w:hAnsi="Arial" w:cs="Arial"/>
                      <w:b/>
                      <w:bCs/>
                      <w:sz w:val="20"/>
                    </w:rPr>
                  </w:pPr>
                  <w:r w:rsidRPr="00D75FF0">
                    <w:rPr>
                      <w:rFonts w:ascii="Arial" w:hAnsi="Arial" w:cs="Arial"/>
                      <w:b/>
                      <w:bCs/>
                      <w:sz w:val="20"/>
                    </w:rPr>
                    <w:t xml:space="preserve">      3,</w:t>
                  </w:r>
                  <w:r>
                    <w:rPr>
                      <w:rFonts w:ascii="Arial" w:hAnsi="Arial" w:cs="Arial"/>
                      <w:b/>
                      <w:bCs/>
                      <w:sz w:val="20"/>
                    </w:rPr>
                    <w:t>532,343.00</w:t>
                  </w:r>
                </w:p>
              </w:tc>
            </w:tr>
          </w:tbl>
          <w:p w:rsidR="00DB45F5" w:rsidRPr="007B66F5" w:rsidRDefault="00DB45F5" w:rsidP="00EE7C1A"/>
        </w:tc>
      </w:tr>
    </w:tbl>
    <w:p w:rsidR="00DB45F5" w:rsidRDefault="00DB45F5" w:rsidP="007779B5"/>
    <w:p w:rsidR="007779B5" w:rsidRDefault="007779B5" w:rsidP="007779B5"/>
    <w:p w:rsidR="007779B5" w:rsidRDefault="007779B5" w:rsidP="007779B5"/>
    <w:p w:rsidR="007779B5" w:rsidRDefault="007779B5" w:rsidP="007779B5">
      <w:pPr>
        <w:rPr>
          <w:b/>
          <w:sz w:val="28"/>
          <w:szCs w:val="28"/>
        </w:rPr>
      </w:pPr>
    </w:p>
    <w:p w:rsidR="007779B5" w:rsidRPr="00DB45F5" w:rsidRDefault="007779B5" w:rsidP="007779B5">
      <w:pPr>
        <w:pStyle w:val="BodyText"/>
        <w:rPr>
          <w:rFonts w:ascii="CG Omega" w:hAnsi="CG Omega"/>
          <w:b/>
          <w:szCs w:val="24"/>
        </w:rPr>
      </w:pPr>
      <w:r w:rsidRPr="00DB45F5">
        <w:rPr>
          <w:rFonts w:ascii="CG Omega" w:hAnsi="CG Omega"/>
          <w:b/>
          <w:szCs w:val="24"/>
        </w:rPr>
        <w:lastRenderedPageBreak/>
        <w:t>Revenues</w:t>
      </w: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r w:rsidRPr="007779B5">
        <w:rPr>
          <w:rFonts w:ascii="CG Omega" w:hAnsi="CG Omega"/>
          <w:szCs w:val="24"/>
        </w:rPr>
        <w:t>This budget recommends that the tax rate remains steady at 48 cents per $100 valuation. There is a fund balance appropriation of $49,048 in order to balance the general fund budget.  This budget reflects an increase in sales tax revenues of approximately 3%.</w:t>
      </w: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r w:rsidRPr="007779B5">
        <w:rPr>
          <w:rFonts w:ascii="CG Omega" w:hAnsi="CG Omega"/>
          <w:szCs w:val="24"/>
        </w:rPr>
        <w:t>The Water and Sewer fund reflects a 3% increase in water and sewer rates.  The City of Burlington enacted a 3% increase on their municipal water and sewer customers, and we have no choice but to raise our rates accordingly.  Even with the new rates, the minimum monthly bill remains reasonable, moving from $42.05 to $43.00.  This is a $.95 increase per month.</w:t>
      </w: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Default="007779B5" w:rsidP="007779B5">
      <w:pPr>
        <w:pStyle w:val="BodyText2"/>
      </w:pPr>
    </w:p>
    <w:p w:rsidR="007779B5" w:rsidRPr="007779B5" w:rsidRDefault="007779B5" w:rsidP="007779B5">
      <w:pPr>
        <w:pStyle w:val="BodyText"/>
        <w:rPr>
          <w:rFonts w:ascii="CG Omega" w:hAnsi="CG Omega"/>
          <w:szCs w:val="24"/>
        </w:rPr>
      </w:pPr>
      <w:r w:rsidRPr="007779B5">
        <w:rPr>
          <w:rFonts w:ascii="CG Omega" w:hAnsi="CG Omega"/>
          <w:szCs w:val="24"/>
        </w:rPr>
        <w:lastRenderedPageBreak/>
        <w:t xml:space="preserve">The following tables outline projected revenues by fund and department.  Also shown is a comparison with the previous year’s budget. </w:t>
      </w:r>
    </w:p>
    <w:p w:rsidR="007779B5" w:rsidRDefault="007779B5" w:rsidP="007779B5">
      <w:pPr>
        <w:pStyle w:val="BodyText"/>
        <w:rPr>
          <w:sz w:val="28"/>
          <w:szCs w:val="28"/>
        </w:rPr>
      </w:pPr>
    </w:p>
    <w:tbl>
      <w:tblPr>
        <w:tblW w:w="8540" w:type="dxa"/>
        <w:tblInd w:w="93" w:type="dxa"/>
        <w:tblLook w:val="04A0"/>
      </w:tblPr>
      <w:tblGrid>
        <w:gridCol w:w="3242"/>
        <w:gridCol w:w="1369"/>
        <w:gridCol w:w="1632"/>
        <w:gridCol w:w="1337"/>
        <w:gridCol w:w="1183"/>
      </w:tblGrid>
      <w:tr w:rsidR="007779B5" w:rsidRPr="008359D7" w:rsidTr="007779B5">
        <w:trPr>
          <w:trHeight w:val="270"/>
        </w:trPr>
        <w:tc>
          <w:tcPr>
            <w:tcW w:w="328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7779B5" w:rsidRPr="008359D7" w:rsidRDefault="007779B5" w:rsidP="007779B5">
            <w:pPr>
              <w:rPr>
                <w:rFonts w:ascii="Arial" w:hAnsi="Arial" w:cs="Arial"/>
                <w:b/>
                <w:bCs/>
                <w:color w:val="FFFFFF"/>
                <w:sz w:val="20"/>
              </w:rPr>
            </w:pPr>
            <w:r w:rsidRPr="008359D7">
              <w:rPr>
                <w:rFonts w:ascii="Arial" w:hAnsi="Arial" w:cs="Arial"/>
                <w:b/>
                <w:bCs/>
                <w:color w:val="FFFFFF"/>
                <w:sz w:val="20"/>
              </w:rPr>
              <w:t>REVENUES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r>
      <w:tr w:rsidR="007779B5" w:rsidRPr="008359D7" w:rsidTr="007779B5">
        <w:trPr>
          <w:trHeight w:val="1035"/>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xml:space="preserve"> Approved      2014-2015 Budget </w:t>
            </w:r>
          </w:p>
        </w:tc>
        <w:tc>
          <w:tcPr>
            <w:tcW w:w="158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xml:space="preserve"> Recommended 2015-2016 Budget </w:t>
            </w:r>
          </w:p>
        </w:tc>
        <w:tc>
          <w:tcPr>
            <w:tcW w:w="124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xml:space="preserve"> $ Difference </w:t>
            </w:r>
          </w:p>
        </w:tc>
        <w:tc>
          <w:tcPr>
            <w:tcW w:w="108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Difference</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GENERAL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Current &amp; Prior Years Ad Valorem</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692,000.00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698,000.00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6,000.00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0.87%</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Current &amp; Prior Years Fire Taxes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275,250.00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275,250.00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Local Option Sales Tax</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388,000.00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411,000.00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23,000.00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5.93%</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Interest on Investments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1,225.00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525.00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-57.14%</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User Fees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117,800.00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119,600.00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1,800.00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1.53%</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State Funds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219,450.00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239,450.00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20,000.00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9.11%</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Miscellaneous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37,315.00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17,720.00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(19,595.00)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-52.51%</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Administrative Grant</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200,000.00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200,000.00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Fund Balance</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82,500.00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49,048.00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(33,452.00)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-40.55%</w:t>
            </w:r>
          </w:p>
        </w:tc>
      </w:tr>
      <w:tr w:rsidR="007779B5" w:rsidRPr="008359D7" w:rsidTr="007779B5">
        <w:trPr>
          <w:trHeight w:val="315"/>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GENERAL FUND TOTALS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2,013,540.00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2,010,593.00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(2,947.00)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-0.15%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315"/>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POWELL BILL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63,500.00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63,500.00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WATER &amp; SEWER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Water Sales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897,520.00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915,000.00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17,480.00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1.95%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Sewer Sales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884,000.00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486,000.00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(398,000.00)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-45.02%</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Tap &amp; Connection Fees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7,000.00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7,000.00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Surcharges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1,200.00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1,200.00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Interest on Investments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Miscellaneous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26,500.00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26,500.00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WATER &amp; SEWER FUND TOTALS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1,816,270.00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1,435,750.00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(380,520.00)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-20.95%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B12F74"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STORMWATER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22,500.00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22,500.00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000000" w:fill="000000"/>
            <w:noWrap/>
            <w:vAlign w:val="bottom"/>
            <w:hideMark/>
          </w:tcPr>
          <w:p w:rsidR="007779B5" w:rsidRPr="008359D7" w:rsidRDefault="007779B5" w:rsidP="007779B5">
            <w:pPr>
              <w:rPr>
                <w:rFonts w:ascii="Arial" w:hAnsi="Arial" w:cs="Arial"/>
                <w:b/>
                <w:bCs/>
                <w:color w:val="FFFFFF"/>
                <w:sz w:val="20"/>
              </w:rPr>
            </w:pPr>
            <w:r w:rsidRPr="008359D7">
              <w:rPr>
                <w:rFonts w:ascii="Arial" w:hAnsi="Arial" w:cs="Arial"/>
                <w:b/>
                <w:bCs/>
                <w:color w:val="FFFFFF"/>
                <w:sz w:val="20"/>
              </w:rPr>
              <w:t>TOTAL REVENUES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3,915,810.00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3,532,343.00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(383,467.00)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-9.79%</w:t>
            </w:r>
          </w:p>
        </w:tc>
      </w:tr>
    </w:tbl>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Default="007779B5" w:rsidP="007779B5">
      <w:pPr>
        <w:rPr>
          <w:b/>
          <w:smallCaps/>
          <w:sz w:val="28"/>
          <w:szCs w:val="28"/>
        </w:rPr>
      </w:pPr>
    </w:p>
    <w:p w:rsidR="007779B5" w:rsidRPr="00DB45F5" w:rsidRDefault="007779B5" w:rsidP="007779B5">
      <w:pPr>
        <w:pStyle w:val="BodyText"/>
        <w:rPr>
          <w:rFonts w:ascii="CG Omega" w:hAnsi="CG Omega"/>
          <w:b/>
          <w:szCs w:val="24"/>
        </w:rPr>
      </w:pPr>
      <w:r w:rsidRPr="00DB45F5">
        <w:rPr>
          <w:rFonts w:ascii="CG Omega" w:hAnsi="CG Omega"/>
          <w:b/>
          <w:szCs w:val="24"/>
        </w:rPr>
        <w:t>Expenditures</w:t>
      </w: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r w:rsidRPr="007779B5">
        <w:rPr>
          <w:rFonts w:ascii="CG Omega" w:hAnsi="CG Omega"/>
          <w:szCs w:val="24"/>
        </w:rPr>
        <w:t xml:space="preserve">This budget holds the line on operational costs and has few capital purchases for equipment and technology upgrades that are needed.  The expenditure budget does not include a cost of living increase for our employees.  </w:t>
      </w:r>
    </w:p>
    <w:p w:rsidR="007779B5" w:rsidRPr="00B52FF7" w:rsidRDefault="007779B5" w:rsidP="007779B5">
      <w:pPr>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r w:rsidRPr="00B52FF7">
        <w:rPr>
          <w:sz w:val="28"/>
          <w:szCs w:val="28"/>
        </w:rPr>
        <w:lastRenderedPageBreak/>
        <w:t xml:space="preserve">The following tables outline projected </w:t>
      </w:r>
      <w:r>
        <w:rPr>
          <w:sz w:val="28"/>
          <w:szCs w:val="28"/>
        </w:rPr>
        <w:t>expenditures</w:t>
      </w:r>
      <w:r w:rsidRPr="00B52FF7">
        <w:rPr>
          <w:sz w:val="28"/>
          <w:szCs w:val="28"/>
        </w:rPr>
        <w:t xml:space="preserve"> by fund</w:t>
      </w:r>
      <w:r>
        <w:rPr>
          <w:sz w:val="28"/>
          <w:szCs w:val="28"/>
        </w:rPr>
        <w:t xml:space="preserve"> and department.  A</w:t>
      </w:r>
      <w:r w:rsidRPr="00B52FF7">
        <w:rPr>
          <w:sz w:val="28"/>
          <w:szCs w:val="28"/>
        </w:rPr>
        <w:t>lso show</w:t>
      </w:r>
      <w:r>
        <w:rPr>
          <w:sz w:val="28"/>
          <w:szCs w:val="28"/>
        </w:rPr>
        <w:t>n is</w:t>
      </w:r>
      <w:r w:rsidRPr="00B52FF7">
        <w:rPr>
          <w:sz w:val="28"/>
          <w:szCs w:val="28"/>
        </w:rPr>
        <w:t xml:space="preserve"> a comparison with the previous year’s budget.  </w:t>
      </w:r>
    </w:p>
    <w:p w:rsidR="007779B5" w:rsidRDefault="007779B5" w:rsidP="007779B5">
      <w:pPr>
        <w:pStyle w:val="BodyText"/>
        <w:rPr>
          <w:sz w:val="28"/>
          <w:szCs w:val="28"/>
        </w:rPr>
      </w:pPr>
    </w:p>
    <w:tbl>
      <w:tblPr>
        <w:tblW w:w="8540" w:type="dxa"/>
        <w:tblInd w:w="93" w:type="dxa"/>
        <w:tblLook w:val="04A0"/>
      </w:tblPr>
      <w:tblGrid>
        <w:gridCol w:w="3242"/>
        <w:gridCol w:w="1369"/>
        <w:gridCol w:w="1632"/>
        <w:gridCol w:w="1337"/>
        <w:gridCol w:w="1183"/>
      </w:tblGrid>
      <w:tr w:rsidR="007779B5" w:rsidRPr="008359D7" w:rsidTr="007779B5">
        <w:trPr>
          <w:trHeight w:val="270"/>
        </w:trPr>
        <w:tc>
          <w:tcPr>
            <w:tcW w:w="328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7779B5" w:rsidRPr="008359D7" w:rsidRDefault="007779B5" w:rsidP="007779B5">
            <w:pPr>
              <w:rPr>
                <w:rFonts w:ascii="Arial" w:hAnsi="Arial" w:cs="Arial"/>
                <w:b/>
                <w:bCs/>
                <w:color w:val="FFFFFF"/>
                <w:sz w:val="20"/>
              </w:rPr>
            </w:pPr>
            <w:r w:rsidRPr="008359D7">
              <w:rPr>
                <w:rFonts w:ascii="Arial" w:hAnsi="Arial" w:cs="Arial"/>
                <w:b/>
                <w:bCs/>
                <w:color w:val="FFFFFF"/>
                <w:sz w:val="20"/>
              </w:rPr>
              <w:t xml:space="preserve">EXPENDITURES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r>
      <w:tr w:rsidR="007779B5" w:rsidRPr="008359D7" w:rsidTr="007779B5">
        <w:trPr>
          <w:trHeight w:val="1035"/>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xml:space="preserve"> Approved      2014-2015 Budget </w:t>
            </w:r>
          </w:p>
        </w:tc>
        <w:tc>
          <w:tcPr>
            <w:tcW w:w="158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xml:space="preserve"> Recommended 2015-2016 Budget </w:t>
            </w:r>
          </w:p>
        </w:tc>
        <w:tc>
          <w:tcPr>
            <w:tcW w:w="124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Difference</w:t>
            </w:r>
          </w:p>
        </w:tc>
        <w:tc>
          <w:tcPr>
            <w:tcW w:w="1080" w:type="dxa"/>
            <w:tcBorders>
              <w:top w:val="nil"/>
              <w:left w:val="nil"/>
              <w:bottom w:val="single" w:sz="8" w:space="0" w:color="auto"/>
              <w:right w:val="single" w:sz="8" w:space="0" w:color="auto"/>
            </w:tcBorders>
            <w:shd w:val="clear" w:color="auto" w:fill="auto"/>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 Difference</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GENERAL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Governing Body</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15,950.00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15,550.00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-2.51%</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Administration</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203,368.00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203,638.00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270.00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0.13%</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Public Buildings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61,500.00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39,500.00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(22,000.00)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-35.77%</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Police Department</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615,727.00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624,009.00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8,282.00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1.35%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Fire Department</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337,794.00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344,874.00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7,080.00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2.10%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Streets and Highways (PW)</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355,682.00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351,515.00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(4,167.00)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-1.17%</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Sanitation</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105,500.00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105,500.00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Parks &amp; Recreation</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163,474.00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165,425.00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1,951.00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1.19%</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Non-Departmental</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154,545.00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160,582.00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6,037.00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3.91%</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GENERAL FUND TOTALS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2,013,540.00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2,010,593.00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(2,947.00)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-0.15%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POWELL BILL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63,500.00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63,500.00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WATER &amp; SEWER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Administration</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187,913.00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181,256.00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(6,657.00)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-3.54%</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Water Department</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731,279.00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724,013.00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(7,266.00)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-0.99%</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Sewer Department</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897,078.00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530,481.00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(366,597.00)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-40.87%</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WATER &amp; SEWER FUND TOTALS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1,816,270.00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1,435,750.00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(380,520.00)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-20.95%</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b/>
                <w:bCs/>
                <w:color w:val="000000"/>
                <w:sz w:val="20"/>
              </w:rPr>
            </w:pPr>
            <w:r w:rsidRPr="008359D7">
              <w:rPr>
                <w:rFonts w:ascii="Arial" w:hAnsi="Arial" w:cs="Arial"/>
                <w:b/>
                <w:bCs/>
                <w:color w:val="000000"/>
                <w:sz w:val="20"/>
              </w:rPr>
              <w:t>STORMWATER FUND</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22,500.00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22,500.00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0.00%</w:t>
            </w: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auto" w:fill="auto"/>
            <w:noWrap/>
            <w:vAlign w:val="bottom"/>
            <w:hideMark/>
          </w:tcPr>
          <w:p w:rsidR="007779B5" w:rsidRPr="008359D7" w:rsidRDefault="007779B5" w:rsidP="007779B5">
            <w:pPr>
              <w:rPr>
                <w:rFonts w:ascii="Arial" w:hAnsi="Arial" w:cs="Arial"/>
                <w:color w:val="000000"/>
                <w:sz w:val="20"/>
              </w:rPr>
            </w:pPr>
            <w:r w:rsidRPr="008359D7">
              <w:rPr>
                <w:rFonts w:ascii="Arial" w:hAnsi="Arial" w:cs="Arial"/>
                <w:color w:val="000000"/>
                <w:sz w:val="20"/>
              </w:rPr>
              <w:t> </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p>
        </w:tc>
      </w:tr>
      <w:tr w:rsidR="007779B5" w:rsidRPr="008359D7" w:rsidTr="007779B5">
        <w:trPr>
          <w:trHeight w:val="270"/>
        </w:trPr>
        <w:tc>
          <w:tcPr>
            <w:tcW w:w="3280" w:type="dxa"/>
            <w:tcBorders>
              <w:top w:val="nil"/>
              <w:left w:val="single" w:sz="8" w:space="0" w:color="auto"/>
              <w:bottom w:val="single" w:sz="8" w:space="0" w:color="auto"/>
              <w:right w:val="single" w:sz="8" w:space="0" w:color="auto"/>
            </w:tcBorders>
            <w:shd w:val="clear" w:color="000000" w:fill="000000"/>
            <w:noWrap/>
            <w:vAlign w:val="bottom"/>
            <w:hideMark/>
          </w:tcPr>
          <w:p w:rsidR="007779B5" w:rsidRPr="008359D7" w:rsidRDefault="007779B5" w:rsidP="007779B5">
            <w:pPr>
              <w:rPr>
                <w:rFonts w:ascii="Arial" w:hAnsi="Arial" w:cs="Arial"/>
                <w:b/>
                <w:bCs/>
                <w:color w:val="FFFFFF"/>
                <w:sz w:val="20"/>
              </w:rPr>
            </w:pPr>
            <w:r w:rsidRPr="008359D7">
              <w:rPr>
                <w:rFonts w:ascii="Arial" w:hAnsi="Arial" w:cs="Arial"/>
                <w:b/>
                <w:bCs/>
                <w:color w:val="FFFFFF"/>
                <w:sz w:val="20"/>
              </w:rPr>
              <w:t>TOTAL EXPENDITURES</w:t>
            </w:r>
          </w:p>
        </w:tc>
        <w:tc>
          <w:tcPr>
            <w:tcW w:w="136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3,915,810.00</w:t>
            </w:r>
          </w:p>
        </w:tc>
        <w:tc>
          <w:tcPr>
            <w:tcW w:w="15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3,532,343.00</w:t>
            </w:r>
          </w:p>
        </w:tc>
        <w:tc>
          <w:tcPr>
            <w:tcW w:w="124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b/>
                <w:bCs/>
                <w:color w:val="000000"/>
                <w:sz w:val="20"/>
              </w:rPr>
            </w:pPr>
            <w:r w:rsidRPr="008359D7">
              <w:rPr>
                <w:rFonts w:ascii="Arial" w:hAnsi="Arial" w:cs="Arial"/>
                <w:b/>
                <w:bCs/>
                <w:color w:val="000000"/>
                <w:sz w:val="20"/>
              </w:rPr>
              <w:t>(383,467.00)</w:t>
            </w:r>
          </w:p>
        </w:tc>
        <w:tc>
          <w:tcPr>
            <w:tcW w:w="1080" w:type="dxa"/>
            <w:tcBorders>
              <w:top w:val="nil"/>
              <w:left w:val="nil"/>
              <w:bottom w:val="single" w:sz="8" w:space="0" w:color="auto"/>
              <w:right w:val="single" w:sz="8" w:space="0" w:color="auto"/>
            </w:tcBorders>
            <w:shd w:val="clear" w:color="auto" w:fill="auto"/>
            <w:noWrap/>
            <w:vAlign w:val="bottom"/>
            <w:hideMark/>
          </w:tcPr>
          <w:p w:rsidR="007779B5" w:rsidRPr="008359D7" w:rsidRDefault="007779B5" w:rsidP="007779B5">
            <w:pPr>
              <w:jc w:val="center"/>
              <w:rPr>
                <w:rFonts w:ascii="Arial" w:hAnsi="Arial" w:cs="Arial"/>
                <w:color w:val="000000"/>
                <w:sz w:val="20"/>
              </w:rPr>
            </w:pPr>
            <w:r w:rsidRPr="008359D7">
              <w:rPr>
                <w:rFonts w:ascii="Arial" w:hAnsi="Arial" w:cs="Arial"/>
                <w:color w:val="000000"/>
                <w:sz w:val="20"/>
              </w:rPr>
              <w:t>-9.79%</w:t>
            </w:r>
          </w:p>
        </w:tc>
      </w:tr>
    </w:tbl>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Default="007779B5" w:rsidP="007779B5">
      <w:pPr>
        <w:pStyle w:val="BodyText"/>
        <w:rPr>
          <w:sz w:val="28"/>
          <w:szCs w:val="28"/>
        </w:rPr>
      </w:pP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p>
    <w:p w:rsidR="007779B5" w:rsidRPr="007779B5" w:rsidRDefault="007779B5" w:rsidP="007779B5">
      <w:pPr>
        <w:pStyle w:val="BodyText"/>
        <w:rPr>
          <w:rFonts w:ascii="CG Omega" w:hAnsi="CG Omega"/>
          <w:szCs w:val="24"/>
        </w:rPr>
      </w:pPr>
      <w:r w:rsidRPr="007779B5">
        <w:rPr>
          <w:rFonts w:ascii="CG Omega" w:hAnsi="CG Omega"/>
          <w:szCs w:val="24"/>
        </w:rPr>
        <w:lastRenderedPageBreak/>
        <w:t xml:space="preserve">The recommended budget presents a reasonable plan for meeting the stated objectives. </w:t>
      </w:r>
    </w:p>
    <w:p w:rsidR="007779B5" w:rsidRPr="007779B5" w:rsidRDefault="007779B5" w:rsidP="007779B5">
      <w:pPr>
        <w:jc w:val="both"/>
        <w:rPr>
          <w:rFonts w:ascii="CG Omega" w:hAnsi="CG Omega"/>
        </w:rPr>
      </w:pPr>
    </w:p>
    <w:p w:rsidR="007779B5" w:rsidRPr="007779B5" w:rsidRDefault="007779B5" w:rsidP="007779B5">
      <w:pPr>
        <w:jc w:val="both"/>
        <w:rPr>
          <w:rFonts w:ascii="CG Omega" w:hAnsi="CG Omega"/>
        </w:rPr>
      </w:pPr>
      <w:r w:rsidRPr="007779B5">
        <w:rPr>
          <w:rFonts w:ascii="CG Omega" w:hAnsi="CG Omega"/>
        </w:rPr>
        <w:t xml:space="preserve">The Department Heads and staff have worked hard to develop this recommendation.  It has not been without loss or regrets at times, as some requests had to be cut in order to make room for others.  It is fair to say that we can work within the recommended budget.  I look forward to working with the Town of Haw River Council as you consider my recommendation.   </w:t>
      </w:r>
    </w:p>
    <w:p w:rsidR="007779B5" w:rsidRDefault="007779B5" w:rsidP="007779B5">
      <w:pPr>
        <w:jc w:val="both"/>
        <w:rPr>
          <w:sz w:val="28"/>
          <w:szCs w:val="28"/>
        </w:rPr>
      </w:pPr>
    </w:p>
    <w:p w:rsidR="00DB45F5" w:rsidRDefault="00DB45F5" w:rsidP="007779B5">
      <w:pPr>
        <w:jc w:val="both"/>
        <w:rPr>
          <w:sz w:val="28"/>
          <w:szCs w:val="28"/>
        </w:rPr>
      </w:pPr>
    </w:p>
    <w:p w:rsidR="00DB45F5" w:rsidRDefault="00DB45F5" w:rsidP="007779B5">
      <w:pPr>
        <w:jc w:val="both"/>
        <w:rPr>
          <w:rFonts w:ascii="CG Omega" w:hAnsi="CG Omega"/>
        </w:rPr>
      </w:pPr>
      <w:r>
        <w:rPr>
          <w:rFonts w:ascii="CG Omega" w:hAnsi="CG Omega"/>
        </w:rPr>
        <w:t>The proposed 2015-2016 Budget is available for review in Town Hall and the Public Hearing for the 2015-2016 is scheduled for Monday, June 1, 2015 at 7:00pm in Town Hall. Public comment is welcome and encouraged.</w:t>
      </w:r>
    </w:p>
    <w:p w:rsidR="007779B5" w:rsidRDefault="007779B5" w:rsidP="007779B5">
      <w:pPr>
        <w:pStyle w:val="Default"/>
        <w:rPr>
          <w:rFonts w:ascii="Times New Roman" w:hAnsi="Times New Roman" w:cs="Times New Roman"/>
        </w:rPr>
      </w:pPr>
    </w:p>
    <w:p w:rsidR="007779B5" w:rsidRDefault="007779B5" w:rsidP="007779B5">
      <w:pPr>
        <w:pStyle w:val="Default"/>
        <w:rPr>
          <w:rFonts w:ascii="Times New Roman" w:hAnsi="Times New Roman" w:cs="Times New Roman"/>
        </w:rPr>
      </w:pPr>
    </w:p>
    <w:p w:rsidR="007779B5" w:rsidRDefault="007779B5" w:rsidP="007779B5">
      <w:pPr>
        <w:pStyle w:val="Default"/>
        <w:rPr>
          <w:rFonts w:ascii="Times New Roman" w:hAnsi="Times New Roman" w:cs="Times New Roman"/>
          <w:b/>
          <w:u w:val="single"/>
        </w:rPr>
      </w:pPr>
    </w:p>
    <w:p w:rsidR="00F67981" w:rsidRDefault="00DB45F5" w:rsidP="003D4EBB">
      <w:pPr>
        <w:jc w:val="both"/>
        <w:rPr>
          <w:rFonts w:ascii="CG Omega" w:hAnsi="CG Omega"/>
        </w:rPr>
      </w:pPr>
      <w:r>
        <w:rPr>
          <w:rFonts w:ascii="CG Omega" w:hAnsi="CG Omega"/>
        </w:rPr>
        <w:t>6:57</w:t>
      </w:r>
      <w:r w:rsidR="00F67981">
        <w:rPr>
          <w:rFonts w:ascii="CG Omega" w:hAnsi="CG Omega"/>
        </w:rPr>
        <w:t xml:space="preserve"> 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DB45F5">
        <w:rPr>
          <w:rFonts w:ascii="CG Omega" w:hAnsi="CG Omega"/>
        </w:rPr>
        <w:t>Allen</w:t>
      </w:r>
      <w:r w:rsidR="00F43F57">
        <w:rPr>
          <w:rFonts w:ascii="CG Omega" w:hAnsi="CG Omega"/>
        </w:rPr>
        <w:t xml:space="preserve"> made a motion to adjourn. Motion carried </w:t>
      </w:r>
      <w:r w:rsidR="00DB45F5">
        <w:rPr>
          <w:rFonts w:ascii="CG Omega" w:hAnsi="CG Omega"/>
        </w:rPr>
        <w:t>3</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CD" w:rsidRDefault="002A53CD" w:rsidP="00B03BAE">
      <w:r>
        <w:separator/>
      </w:r>
    </w:p>
  </w:endnote>
  <w:endnote w:type="continuationSeparator" w:id="0">
    <w:p w:rsidR="002A53CD" w:rsidRDefault="002A53CD" w:rsidP="00B03B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CD" w:rsidRDefault="002A53CD" w:rsidP="00B03BAE">
      <w:r>
        <w:separator/>
      </w:r>
    </w:p>
  </w:footnote>
  <w:footnote w:type="continuationSeparator" w:id="0">
    <w:p w:rsidR="002A53CD" w:rsidRDefault="002A53CD" w:rsidP="00B0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5" w:rsidRDefault="00274206">
    <w:pPr>
      <w:spacing w:line="14" w:lineRule="auto"/>
      <w:rPr>
        <w:sz w:val="20"/>
        <w:szCs w:val="20"/>
      </w:rPr>
    </w:pPr>
    <w:r w:rsidRPr="00274206">
      <w:rPr>
        <w:sz w:val="22"/>
        <w:szCs w:val="22"/>
      </w:rPr>
      <w:pict>
        <v:shapetype id="_x0000_t202" coordsize="21600,21600" o:spt="202" path="m,l,21600r21600,l21600,xe">
          <v:stroke joinstyle="miter"/>
          <v:path gradientshapeok="t" o:connecttype="rect"/>
        </v:shapetype>
        <v:shape id="_x0000_s19457" type="#_x0000_t202" style="position:absolute;margin-left:77.1pt;margin-top:41.45pt;width:387.3pt;height:48.25pt;z-index:-251656192;mso-position-horizontal-relative:page;mso-position-vertical-relative:page" filled="f" stroked="f">
          <v:textbox inset="0,0,0,0">
            <w:txbxContent>
              <w:p w:rsidR="007779B5" w:rsidRPr="00B03BAE" w:rsidRDefault="007779B5" w:rsidP="00B03BAE">
                <w:pPr>
                  <w:rPr>
                    <w:rFonts w:eastAsia="Arial"/>
                    <w:szCs w:val="29"/>
                  </w:rPr>
                </w:pPr>
              </w:p>
            </w:txbxContent>
          </v:textbox>
          <w10:wrap anchorx="page" anchory="page"/>
        </v:shape>
      </w:pict>
    </w:r>
    <w:r w:rsidRPr="00274206">
      <w:rPr>
        <w:sz w:val="22"/>
        <w:szCs w:val="22"/>
      </w:rPr>
      <w:pict>
        <v:shape id="_x0000_s19458" type="#_x0000_t202" style="position:absolute;margin-left:77.1pt;margin-top:104pt;width:57.75pt;height:11.5pt;z-index:-251655168;mso-position-horizontal-relative:page;mso-position-vertical-relative:page" filled="f" stroked="f">
          <v:textbox inset="0,0,0,0">
            <w:txbxContent>
              <w:p w:rsidR="007779B5" w:rsidRPr="00B03BAE" w:rsidRDefault="007779B5" w:rsidP="00B03BAE"/>
            </w:txbxContent>
          </v:textbox>
          <w10:wrap anchorx="page" anchory="page"/>
        </v:shape>
      </w:pict>
    </w:r>
  </w:p>
  <w:p w:rsidR="007779B5" w:rsidRDefault="007779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6F4"/>
    <w:multiLevelType w:val="hybridMultilevel"/>
    <w:tmpl w:val="F44C95E0"/>
    <w:lvl w:ilvl="0" w:tplc="4AE0BFE8">
      <w:start w:val="2"/>
      <w:numFmt w:val="decimal"/>
      <w:lvlText w:val="%1."/>
      <w:lvlJc w:val="left"/>
      <w:pPr>
        <w:ind w:left="776" w:hanging="335"/>
      </w:pPr>
      <w:rPr>
        <w:rFonts w:ascii="Arial" w:eastAsia="Arial" w:hAnsi="Arial" w:hint="default"/>
        <w:color w:val="131313"/>
        <w:w w:val="91"/>
        <w:sz w:val="19"/>
        <w:szCs w:val="19"/>
      </w:rPr>
    </w:lvl>
    <w:lvl w:ilvl="1" w:tplc="CC661A58">
      <w:start w:val="1"/>
      <w:numFmt w:val="bullet"/>
      <w:lvlText w:val="•"/>
      <w:lvlJc w:val="left"/>
      <w:pPr>
        <w:ind w:left="1609" w:hanging="335"/>
      </w:pPr>
      <w:rPr>
        <w:rFonts w:hint="default"/>
      </w:rPr>
    </w:lvl>
    <w:lvl w:ilvl="2" w:tplc="F38CE494">
      <w:start w:val="1"/>
      <w:numFmt w:val="bullet"/>
      <w:lvlText w:val="•"/>
      <w:lvlJc w:val="left"/>
      <w:pPr>
        <w:ind w:left="2441" w:hanging="335"/>
      </w:pPr>
      <w:rPr>
        <w:rFonts w:hint="default"/>
      </w:rPr>
    </w:lvl>
    <w:lvl w:ilvl="3" w:tplc="B2247CBE">
      <w:start w:val="1"/>
      <w:numFmt w:val="bullet"/>
      <w:lvlText w:val="•"/>
      <w:lvlJc w:val="left"/>
      <w:pPr>
        <w:ind w:left="3273" w:hanging="335"/>
      </w:pPr>
      <w:rPr>
        <w:rFonts w:hint="default"/>
      </w:rPr>
    </w:lvl>
    <w:lvl w:ilvl="4" w:tplc="1FA8F86A">
      <w:start w:val="1"/>
      <w:numFmt w:val="bullet"/>
      <w:lvlText w:val="•"/>
      <w:lvlJc w:val="left"/>
      <w:pPr>
        <w:ind w:left="4106" w:hanging="335"/>
      </w:pPr>
      <w:rPr>
        <w:rFonts w:hint="default"/>
      </w:rPr>
    </w:lvl>
    <w:lvl w:ilvl="5" w:tplc="92BCB706">
      <w:start w:val="1"/>
      <w:numFmt w:val="bullet"/>
      <w:lvlText w:val="•"/>
      <w:lvlJc w:val="left"/>
      <w:pPr>
        <w:ind w:left="4938" w:hanging="335"/>
      </w:pPr>
      <w:rPr>
        <w:rFonts w:hint="default"/>
      </w:rPr>
    </w:lvl>
    <w:lvl w:ilvl="6" w:tplc="D542C8A8">
      <w:start w:val="1"/>
      <w:numFmt w:val="bullet"/>
      <w:lvlText w:val="•"/>
      <w:lvlJc w:val="left"/>
      <w:pPr>
        <w:ind w:left="5770" w:hanging="335"/>
      </w:pPr>
      <w:rPr>
        <w:rFonts w:hint="default"/>
      </w:rPr>
    </w:lvl>
    <w:lvl w:ilvl="7" w:tplc="8B62A578">
      <w:start w:val="1"/>
      <w:numFmt w:val="bullet"/>
      <w:lvlText w:val="•"/>
      <w:lvlJc w:val="left"/>
      <w:pPr>
        <w:ind w:left="6603" w:hanging="335"/>
      </w:pPr>
      <w:rPr>
        <w:rFonts w:hint="default"/>
      </w:rPr>
    </w:lvl>
    <w:lvl w:ilvl="8" w:tplc="767287B0">
      <w:start w:val="1"/>
      <w:numFmt w:val="bullet"/>
      <w:lvlText w:val="•"/>
      <w:lvlJc w:val="left"/>
      <w:pPr>
        <w:ind w:left="7435" w:hanging="335"/>
      </w:pPr>
      <w:rPr>
        <w:rFonts w:hint="default"/>
      </w:rPr>
    </w:lvl>
  </w:abstractNum>
  <w:abstractNum w:abstractNumId="1">
    <w:nsid w:val="081F43B0"/>
    <w:multiLevelType w:val="hybridMultilevel"/>
    <w:tmpl w:val="EBFE2924"/>
    <w:lvl w:ilvl="0" w:tplc="AA482460">
      <w:start w:val="3"/>
      <w:numFmt w:val="decimal"/>
      <w:lvlText w:val="%1."/>
      <w:lvlJc w:val="left"/>
      <w:pPr>
        <w:ind w:left="921" w:hanging="201"/>
      </w:pPr>
      <w:rPr>
        <w:rFonts w:ascii="Arial" w:eastAsia="Arial" w:hAnsi="Arial" w:hint="default"/>
        <w:color w:val="131313"/>
        <w:w w:val="89"/>
        <w:sz w:val="19"/>
        <w:szCs w:val="19"/>
      </w:rPr>
    </w:lvl>
    <w:lvl w:ilvl="1" w:tplc="E7CC4428">
      <w:start w:val="1"/>
      <w:numFmt w:val="decimal"/>
      <w:lvlText w:val="%2."/>
      <w:lvlJc w:val="left"/>
      <w:pPr>
        <w:ind w:left="1589" w:hanging="340"/>
      </w:pPr>
      <w:rPr>
        <w:rFonts w:ascii="Arial" w:eastAsia="Arial" w:hAnsi="Arial" w:hint="default"/>
        <w:color w:val="131313"/>
        <w:spacing w:val="-54"/>
        <w:w w:val="150"/>
        <w:sz w:val="19"/>
        <w:szCs w:val="19"/>
      </w:rPr>
    </w:lvl>
    <w:lvl w:ilvl="2" w:tplc="2892E4DE">
      <w:start w:val="1"/>
      <w:numFmt w:val="bullet"/>
      <w:lvlText w:val="•"/>
      <w:lvlJc w:val="left"/>
      <w:pPr>
        <w:ind w:left="2511" w:hanging="340"/>
      </w:pPr>
      <w:rPr>
        <w:rFonts w:hint="default"/>
      </w:rPr>
    </w:lvl>
    <w:lvl w:ilvl="3" w:tplc="C1B6F0F0">
      <w:start w:val="1"/>
      <w:numFmt w:val="bullet"/>
      <w:lvlText w:val="•"/>
      <w:lvlJc w:val="left"/>
      <w:pPr>
        <w:ind w:left="3433" w:hanging="340"/>
      </w:pPr>
      <w:rPr>
        <w:rFonts w:hint="default"/>
      </w:rPr>
    </w:lvl>
    <w:lvl w:ilvl="4" w:tplc="C64A89A4">
      <w:start w:val="1"/>
      <w:numFmt w:val="bullet"/>
      <w:lvlText w:val="•"/>
      <w:lvlJc w:val="left"/>
      <w:pPr>
        <w:ind w:left="4356" w:hanging="340"/>
      </w:pPr>
      <w:rPr>
        <w:rFonts w:hint="default"/>
      </w:rPr>
    </w:lvl>
    <w:lvl w:ilvl="5" w:tplc="F594AFD4">
      <w:start w:val="1"/>
      <w:numFmt w:val="bullet"/>
      <w:lvlText w:val="•"/>
      <w:lvlJc w:val="left"/>
      <w:pPr>
        <w:ind w:left="5278" w:hanging="340"/>
      </w:pPr>
      <w:rPr>
        <w:rFonts w:hint="default"/>
      </w:rPr>
    </w:lvl>
    <w:lvl w:ilvl="6" w:tplc="FEAA8818">
      <w:start w:val="1"/>
      <w:numFmt w:val="bullet"/>
      <w:lvlText w:val="•"/>
      <w:lvlJc w:val="left"/>
      <w:pPr>
        <w:ind w:left="6200" w:hanging="340"/>
      </w:pPr>
      <w:rPr>
        <w:rFonts w:hint="default"/>
      </w:rPr>
    </w:lvl>
    <w:lvl w:ilvl="7" w:tplc="7AB023F0">
      <w:start w:val="1"/>
      <w:numFmt w:val="bullet"/>
      <w:lvlText w:val="•"/>
      <w:lvlJc w:val="left"/>
      <w:pPr>
        <w:ind w:left="7122" w:hanging="340"/>
      </w:pPr>
      <w:rPr>
        <w:rFonts w:hint="default"/>
      </w:rPr>
    </w:lvl>
    <w:lvl w:ilvl="8" w:tplc="0E08861E">
      <w:start w:val="1"/>
      <w:numFmt w:val="bullet"/>
      <w:lvlText w:val="•"/>
      <w:lvlJc w:val="left"/>
      <w:pPr>
        <w:ind w:left="8044" w:hanging="340"/>
      </w:pPr>
      <w:rPr>
        <w:rFonts w:hint="default"/>
      </w:rPr>
    </w:lvl>
  </w:abstractNum>
  <w:abstractNum w:abstractNumId="2">
    <w:nsid w:val="0833319E"/>
    <w:multiLevelType w:val="singleLevel"/>
    <w:tmpl w:val="2604D25E"/>
    <w:lvl w:ilvl="0">
      <w:start w:val="1"/>
      <w:numFmt w:val="decimal"/>
      <w:lvlText w:val="%1)"/>
      <w:lvlJc w:val="left"/>
      <w:pPr>
        <w:tabs>
          <w:tab w:val="num" w:pos="360"/>
        </w:tabs>
        <w:ind w:left="360" w:hanging="360"/>
      </w:pPr>
      <w:rPr>
        <w:rFonts w:ascii="Times New Roman" w:hAnsi="Times New Roman" w:cs="Times New Roman" w:hint="default"/>
        <w:b/>
        <w:i w:val="0"/>
        <w:sz w:val="24"/>
      </w:rPr>
    </w:lvl>
  </w:abstractNum>
  <w:abstractNum w:abstractNumId="3">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37A38"/>
    <w:multiLevelType w:val="hybridMultilevel"/>
    <w:tmpl w:val="1D909CDC"/>
    <w:lvl w:ilvl="0" w:tplc="6A907FE0">
      <w:start w:val="2"/>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7DAD"/>
    <w:multiLevelType w:val="hybridMultilevel"/>
    <w:tmpl w:val="5F2ED8C4"/>
    <w:lvl w:ilvl="0" w:tplc="016E1BBC">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1C23CB"/>
    <w:multiLevelType w:val="hybridMultilevel"/>
    <w:tmpl w:val="4B102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A6ABA"/>
    <w:multiLevelType w:val="hybridMultilevel"/>
    <w:tmpl w:val="4AAC38FC"/>
    <w:lvl w:ilvl="0" w:tplc="9A566B0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53DF5"/>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11">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140098"/>
    <w:multiLevelType w:val="hybridMultilevel"/>
    <w:tmpl w:val="CE6C9B90"/>
    <w:lvl w:ilvl="0" w:tplc="DF78AD9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54F49"/>
    <w:multiLevelType w:val="hybridMultilevel"/>
    <w:tmpl w:val="515CC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590C7A"/>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24">
    <w:nsid w:val="4D62748C"/>
    <w:multiLevelType w:val="hybridMultilevel"/>
    <w:tmpl w:val="0C34839E"/>
    <w:lvl w:ilvl="0" w:tplc="6A1C2B5E">
      <w:start w:val="1"/>
      <w:numFmt w:val="decimal"/>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B7EF4"/>
    <w:multiLevelType w:val="hybridMultilevel"/>
    <w:tmpl w:val="3580F8FA"/>
    <w:lvl w:ilvl="0" w:tplc="A81E13A6">
      <w:start w:val="1"/>
      <w:numFmt w:val="decimal"/>
      <w:lvlText w:val="%1."/>
      <w:lvlJc w:val="left"/>
      <w:pPr>
        <w:ind w:left="816" w:hanging="360"/>
      </w:pPr>
      <w:rPr>
        <w:rFonts w:hint="default"/>
        <w:sz w:val="2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85F7A"/>
    <w:multiLevelType w:val="hybridMultilevel"/>
    <w:tmpl w:val="1C5C67BA"/>
    <w:lvl w:ilvl="0" w:tplc="A078BB60">
      <w:start w:val="1"/>
      <w:numFmt w:val="decimal"/>
      <w:lvlText w:val="%1."/>
      <w:lvlJc w:val="left"/>
      <w:pPr>
        <w:ind w:left="1605" w:hanging="885"/>
      </w:pPr>
      <w:rPr>
        <w:rFonts w:ascii="Times New Roman" w:eastAsia="Times New Roman" w:hAnsi="Times New Roman" w:cs="Times New Roman"/>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E8120F"/>
    <w:multiLevelType w:val="hybridMultilevel"/>
    <w:tmpl w:val="D3D40494"/>
    <w:lvl w:ilvl="0" w:tplc="F7F61EC8">
      <w:start w:val="19"/>
      <w:numFmt w:val="upperLetter"/>
      <w:lvlText w:val="%1."/>
      <w:lvlJc w:val="left"/>
      <w:pPr>
        <w:ind w:left="819" w:hanging="335"/>
      </w:pPr>
      <w:rPr>
        <w:rFonts w:ascii="Arial" w:eastAsia="Arial" w:hAnsi="Arial" w:hint="default"/>
        <w:color w:val="111111"/>
        <w:w w:val="84"/>
        <w:sz w:val="19"/>
        <w:szCs w:val="19"/>
      </w:rPr>
    </w:lvl>
    <w:lvl w:ilvl="1" w:tplc="34C82F96">
      <w:start w:val="1"/>
      <w:numFmt w:val="decimal"/>
      <w:lvlText w:val="%2."/>
      <w:lvlJc w:val="left"/>
      <w:pPr>
        <w:ind w:left="805" w:hanging="344"/>
      </w:pPr>
      <w:rPr>
        <w:rFonts w:ascii="Arial" w:eastAsia="Arial" w:hAnsi="Arial" w:hint="default"/>
        <w:color w:val="111111"/>
        <w:w w:val="105"/>
        <w:sz w:val="18"/>
        <w:szCs w:val="18"/>
      </w:rPr>
    </w:lvl>
    <w:lvl w:ilvl="2" w:tplc="DF2C1990">
      <w:start w:val="1"/>
      <w:numFmt w:val="bullet"/>
      <w:lvlText w:val="•"/>
      <w:lvlJc w:val="left"/>
      <w:pPr>
        <w:ind w:left="1739" w:hanging="344"/>
      </w:pPr>
      <w:rPr>
        <w:rFonts w:hint="default"/>
      </w:rPr>
    </w:lvl>
    <w:lvl w:ilvl="3" w:tplc="F034BB3E">
      <w:start w:val="1"/>
      <w:numFmt w:val="bullet"/>
      <w:lvlText w:val="•"/>
      <w:lvlJc w:val="left"/>
      <w:pPr>
        <w:ind w:left="2659" w:hanging="344"/>
      </w:pPr>
      <w:rPr>
        <w:rFonts w:hint="default"/>
      </w:rPr>
    </w:lvl>
    <w:lvl w:ilvl="4" w:tplc="AFFA9298">
      <w:start w:val="1"/>
      <w:numFmt w:val="bullet"/>
      <w:lvlText w:val="•"/>
      <w:lvlJc w:val="left"/>
      <w:pPr>
        <w:ind w:left="3579" w:hanging="344"/>
      </w:pPr>
      <w:rPr>
        <w:rFonts w:hint="default"/>
      </w:rPr>
    </w:lvl>
    <w:lvl w:ilvl="5" w:tplc="3F4CA2C6">
      <w:start w:val="1"/>
      <w:numFmt w:val="bullet"/>
      <w:lvlText w:val="•"/>
      <w:lvlJc w:val="left"/>
      <w:pPr>
        <w:ind w:left="4499" w:hanging="344"/>
      </w:pPr>
      <w:rPr>
        <w:rFonts w:hint="default"/>
      </w:rPr>
    </w:lvl>
    <w:lvl w:ilvl="6" w:tplc="F5929646">
      <w:start w:val="1"/>
      <w:numFmt w:val="bullet"/>
      <w:lvlText w:val="•"/>
      <w:lvlJc w:val="left"/>
      <w:pPr>
        <w:ind w:left="5419" w:hanging="344"/>
      </w:pPr>
      <w:rPr>
        <w:rFonts w:hint="default"/>
      </w:rPr>
    </w:lvl>
    <w:lvl w:ilvl="7" w:tplc="96C80DE8">
      <w:start w:val="1"/>
      <w:numFmt w:val="bullet"/>
      <w:lvlText w:val="•"/>
      <w:lvlJc w:val="left"/>
      <w:pPr>
        <w:ind w:left="6339" w:hanging="344"/>
      </w:pPr>
      <w:rPr>
        <w:rFonts w:hint="default"/>
      </w:rPr>
    </w:lvl>
    <w:lvl w:ilvl="8" w:tplc="DBE468BC">
      <w:start w:val="1"/>
      <w:numFmt w:val="bullet"/>
      <w:lvlText w:val="•"/>
      <w:lvlJc w:val="left"/>
      <w:pPr>
        <w:ind w:left="7259" w:hanging="344"/>
      </w:pPr>
      <w:rPr>
        <w:rFonts w:hint="default"/>
      </w:rPr>
    </w:lvl>
  </w:abstractNum>
  <w:abstractNum w:abstractNumId="36">
    <w:nsid w:val="61096948"/>
    <w:multiLevelType w:val="hybridMultilevel"/>
    <w:tmpl w:val="55A2B806"/>
    <w:lvl w:ilvl="0" w:tplc="78C82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A11DBB"/>
    <w:multiLevelType w:val="hybridMultilevel"/>
    <w:tmpl w:val="855A3C8C"/>
    <w:lvl w:ilvl="0" w:tplc="979CA74C">
      <w:start w:val="1"/>
      <w:numFmt w:val="decimal"/>
      <w:lvlText w:val="%1."/>
      <w:lvlJc w:val="left"/>
      <w:pPr>
        <w:ind w:left="1184" w:hanging="360"/>
      </w:pPr>
      <w:rPr>
        <w:rFonts w:hint="default"/>
        <w:color w:val="111111"/>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9">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26"/>
  </w:num>
  <w:num w:numId="4">
    <w:abstractNumId w:val="43"/>
  </w:num>
  <w:num w:numId="5">
    <w:abstractNumId w:val="37"/>
  </w:num>
  <w:num w:numId="6">
    <w:abstractNumId w:val="41"/>
  </w:num>
  <w:num w:numId="7">
    <w:abstractNumId w:val="18"/>
  </w:num>
  <w:num w:numId="8">
    <w:abstractNumId w:val="16"/>
  </w:num>
  <w:num w:numId="9">
    <w:abstractNumId w:val="32"/>
  </w:num>
  <w:num w:numId="10">
    <w:abstractNumId w:val="19"/>
  </w:num>
  <w:num w:numId="11">
    <w:abstractNumId w:val="42"/>
  </w:num>
  <w:num w:numId="12">
    <w:abstractNumId w:val="11"/>
  </w:num>
  <w:num w:numId="13">
    <w:abstractNumId w:val="30"/>
  </w:num>
  <w:num w:numId="14">
    <w:abstractNumId w:val="12"/>
  </w:num>
  <w:num w:numId="15">
    <w:abstractNumId w:val="28"/>
  </w:num>
  <w:num w:numId="16">
    <w:abstractNumId w:val="8"/>
  </w:num>
  <w:num w:numId="17">
    <w:abstractNumId w:val="3"/>
  </w:num>
  <w:num w:numId="18">
    <w:abstractNumId w:val="27"/>
  </w:num>
  <w:num w:numId="19">
    <w:abstractNumId w:val="39"/>
  </w:num>
  <w:num w:numId="20">
    <w:abstractNumId w:val="14"/>
  </w:num>
  <w:num w:numId="21">
    <w:abstractNumId w:val="13"/>
  </w:num>
  <w:num w:numId="22">
    <w:abstractNumId w:val="29"/>
  </w:num>
  <w:num w:numId="23">
    <w:abstractNumId w:val="31"/>
  </w:num>
  <w:num w:numId="24">
    <w:abstractNumId w:val="40"/>
  </w:num>
  <w:num w:numId="25">
    <w:abstractNumId w:val="21"/>
  </w:num>
  <w:num w:numId="26">
    <w:abstractNumId w:val="44"/>
  </w:num>
  <w:num w:numId="27">
    <w:abstractNumId w:val="22"/>
  </w:num>
  <w:num w:numId="28">
    <w:abstractNumId w:val="36"/>
  </w:num>
  <w:num w:numId="29">
    <w:abstractNumId w:val="2"/>
    <w:lvlOverride w:ilvl="0">
      <w:startOverride w:val="1"/>
    </w:lvlOverride>
  </w:num>
  <w:num w:numId="30">
    <w:abstractNumId w:val="9"/>
  </w:num>
  <w:num w:numId="31">
    <w:abstractNumId w:val="5"/>
  </w:num>
  <w:num w:numId="32">
    <w:abstractNumId w:val="35"/>
  </w:num>
  <w:num w:numId="33">
    <w:abstractNumId w:val="23"/>
  </w:num>
  <w:num w:numId="34">
    <w:abstractNumId w:val="25"/>
  </w:num>
  <w:num w:numId="35">
    <w:abstractNumId w:val="0"/>
  </w:num>
  <w:num w:numId="36">
    <w:abstractNumId w:val="1"/>
  </w:num>
  <w:num w:numId="37">
    <w:abstractNumId w:val="34"/>
  </w:num>
  <w:num w:numId="38">
    <w:abstractNumId w:val="38"/>
  </w:num>
  <w:num w:numId="39">
    <w:abstractNumId w:val="10"/>
  </w:num>
  <w:num w:numId="40">
    <w:abstractNumId w:val="15"/>
  </w:num>
  <w:num w:numId="41">
    <w:abstractNumId w:val="24"/>
  </w:num>
  <w:num w:numId="42">
    <w:abstractNumId w:val="33"/>
  </w:num>
  <w:num w:numId="43">
    <w:abstractNumId w:val="4"/>
  </w:num>
  <w:num w:numId="44">
    <w:abstractNumId w:val="17"/>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stylePaneFormatFilter w:val="3F01"/>
  <w:defaultTabStop w:val="720"/>
  <w:characterSpacingControl w:val="doNotCompress"/>
  <w:hdrShapeDefaults>
    <o:shapedefaults v:ext="edit" spidmax="30722"/>
    <o:shapelayout v:ext="edit">
      <o:idmap v:ext="edit" data="19"/>
    </o:shapelayout>
  </w:hdrShapeDefaults>
  <w:footnotePr>
    <w:footnote w:id="-1"/>
    <w:footnote w:id="0"/>
  </w:footnotePr>
  <w:endnotePr>
    <w:endnote w:id="-1"/>
    <w:endnote w:id="0"/>
  </w:endnotePr>
  <w:compat/>
  <w:rsids>
    <w:rsidRoot w:val="0063704A"/>
    <w:rsid w:val="00000FC8"/>
    <w:rsid w:val="000025C1"/>
    <w:rsid w:val="00010504"/>
    <w:rsid w:val="000160A8"/>
    <w:rsid w:val="0001790A"/>
    <w:rsid w:val="000224A9"/>
    <w:rsid w:val="00025F6F"/>
    <w:rsid w:val="00030AA2"/>
    <w:rsid w:val="00053301"/>
    <w:rsid w:val="0005670B"/>
    <w:rsid w:val="0006048B"/>
    <w:rsid w:val="00073CB5"/>
    <w:rsid w:val="00077054"/>
    <w:rsid w:val="00077518"/>
    <w:rsid w:val="00087199"/>
    <w:rsid w:val="00087AAB"/>
    <w:rsid w:val="000925F4"/>
    <w:rsid w:val="00093AEB"/>
    <w:rsid w:val="00096BD6"/>
    <w:rsid w:val="000A674F"/>
    <w:rsid w:val="000B1855"/>
    <w:rsid w:val="000B348F"/>
    <w:rsid w:val="000B51F0"/>
    <w:rsid w:val="000B5C0D"/>
    <w:rsid w:val="000C0D10"/>
    <w:rsid w:val="000C2A9C"/>
    <w:rsid w:val="000D5A1F"/>
    <w:rsid w:val="000E1339"/>
    <w:rsid w:val="000E30A2"/>
    <w:rsid w:val="000F5DDF"/>
    <w:rsid w:val="00105322"/>
    <w:rsid w:val="001062C4"/>
    <w:rsid w:val="00111451"/>
    <w:rsid w:val="00112707"/>
    <w:rsid w:val="001131C0"/>
    <w:rsid w:val="00123E3C"/>
    <w:rsid w:val="00130CA9"/>
    <w:rsid w:val="00133726"/>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A6E9D"/>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4206"/>
    <w:rsid w:val="00277AB2"/>
    <w:rsid w:val="00293271"/>
    <w:rsid w:val="002945C2"/>
    <w:rsid w:val="00297453"/>
    <w:rsid w:val="002A0A21"/>
    <w:rsid w:val="002A53CD"/>
    <w:rsid w:val="002A5CCD"/>
    <w:rsid w:val="002A7C78"/>
    <w:rsid w:val="002B4A5A"/>
    <w:rsid w:val="002B7B8C"/>
    <w:rsid w:val="002D3113"/>
    <w:rsid w:val="002E2D4E"/>
    <w:rsid w:val="002E6143"/>
    <w:rsid w:val="002F25D6"/>
    <w:rsid w:val="00306657"/>
    <w:rsid w:val="00310EAA"/>
    <w:rsid w:val="00315525"/>
    <w:rsid w:val="00317EC6"/>
    <w:rsid w:val="00320D8F"/>
    <w:rsid w:val="00321D0D"/>
    <w:rsid w:val="00324099"/>
    <w:rsid w:val="003301E7"/>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D4EBB"/>
    <w:rsid w:val="003D5A1B"/>
    <w:rsid w:val="003F4860"/>
    <w:rsid w:val="003F4A92"/>
    <w:rsid w:val="003F7A77"/>
    <w:rsid w:val="00401E9D"/>
    <w:rsid w:val="00402F64"/>
    <w:rsid w:val="00404A70"/>
    <w:rsid w:val="0040591B"/>
    <w:rsid w:val="0042377A"/>
    <w:rsid w:val="00426EF8"/>
    <w:rsid w:val="004309ED"/>
    <w:rsid w:val="00430C76"/>
    <w:rsid w:val="00431267"/>
    <w:rsid w:val="00440B0B"/>
    <w:rsid w:val="00441055"/>
    <w:rsid w:val="004452AC"/>
    <w:rsid w:val="00461F7A"/>
    <w:rsid w:val="0046521F"/>
    <w:rsid w:val="00466379"/>
    <w:rsid w:val="00471BE4"/>
    <w:rsid w:val="00473BE1"/>
    <w:rsid w:val="0049507C"/>
    <w:rsid w:val="0049647E"/>
    <w:rsid w:val="004A31A9"/>
    <w:rsid w:val="004B5486"/>
    <w:rsid w:val="004B612A"/>
    <w:rsid w:val="004B7585"/>
    <w:rsid w:val="004C6D46"/>
    <w:rsid w:val="004D0F54"/>
    <w:rsid w:val="004D50E6"/>
    <w:rsid w:val="004D6A58"/>
    <w:rsid w:val="004E2AD1"/>
    <w:rsid w:val="004E3714"/>
    <w:rsid w:val="004E5012"/>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6EC"/>
    <w:rsid w:val="005668A4"/>
    <w:rsid w:val="00566DE9"/>
    <w:rsid w:val="00580B50"/>
    <w:rsid w:val="00587497"/>
    <w:rsid w:val="0059290E"/>
    <w:rsid w:val="00597939"/>
    <w:rsid w:val="00597AAA"/>
    <w:rsid w:val="005A6049"/>
    <w:rsid w:val="005A733C"/>
    <w:rsid w:val="005B3930"/>
    <w:rsid w:val="005C6886"/>
    <w:rsid w:val="005D2BD9"/>
    <w:rsid w:val="005F365D"/>
    <w:rsid w:val="00601B13"/>
    <w:rsid w:val="00601F3F"/>
    <w:rsid w:val="0060266C"/>
    <w:rsid w:val="0060743F"/>
    <w:rsid w:val="00612D78"/>
    <w:rsid w:val="0061477A"/>
    <w:rsid w:val="00615A0B"/>
    <w:rsid w:val="00617344"/>
    <w:rsid w:val="00620DB0"/>
    <w:rsid w:val="00623A12"/>
    <w:rsid w:val="006245D2"/>
    <w:rsid w:val="006248A8"/>
    <w:rsid w:val="00626114"/>
    <w:rsid w:val="00633449"/>
    <w:rsid w:val="0063704A"/>
    <w:rsid w:val="006437EA"/>
    <w:rsid w:val="00653501"/>
    <w:rsid w:val="00655761"/>
    <w:rsid w:val="006579FC"/>
    <w:rsid w:val="00661F9E"/>
    <w:rsid w:val="00664F8A"/>
    <w:rsid w:val="006835A6"/>
    <w:rsid w:val="00686985"/>
    <w:rsid w:val="0069017F"/>
    <w:rsid w:val="00691F4D"/>
    <w:rsid w:val="00694DA9"/>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3E20"/>
    <w:rsid w:val="00765E0D"/>
    <w:rsid w:val="007666DB"/>
    <w:rsid w:val="007735EC"/>
    <w:rsid w:val="00773FDA"/>
    <w:rsid w:val="00775534"/>
    <w:rsid w:val="0077759A"/>
    <w:rsid w:val="007779B5"/>
    <w:rsid w:val="00777E16"/>
    <w:rsid w:val="00783006"/>
    <w:rsid w:val="00786367"/>
    <w:rsid w:val="00787E88"/>
    <w:rsid w:val="007913B9"/>
    <w:rsid w:val="0079605D"/>
    <w:rsid w:val="0079679C"/>
    <w:rsid w:val="007B44D0"/>
    <w:rsid w:val="007B5F8F"/>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31A8A"/>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2D2C"/>
    <w:rsid w:val="00923646"/>
    <w:rsid w:val="009275C2"/>
    <w:rsid w:val="009328B6"/>
    <w:rsid w:val="0093323B"/>
    <w:rsid w:val="00936891"/>
    <w:rsid w:val="009433B8"/>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1AC4"/>
    <w:rsid w:val="00A354EE"/>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03BAE"/>
    <w:rsid w:val="00B064E8"/>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2C71"/>
    <w:rsid w:val="00B63DDA"/>
    <w:rsid w:val="00B70883"/>
    <w:rsid w:val="00B71F17"/>
    <w:rsid w:val="00B749AD"/>
    <w:rsid w:val="00B76486"/>
    <w:rsid w:val="00B84E3A"/>
    <w:rsid w:val="00B90D15"/>
    <w:rsid w:val="00B914D1"/>
    <w:rsid w:val="00B9171F"/>
    <w:rsid w:val="00B92C56"/>
    <w:rsid w:val="00B932B0"/>
    <w:rsid w:val="00B93BBA"/>
    <w:rsid w:val="00B940B6"/>
    <w:rsid w:val="00BA43A5"/>
    <w:rsid w:val="00BA50D6"/>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56EB"/>
    <w:rsid w:val="00C36DE2"/>
    <w:rsid w:val="00C41B11"/>
    <w:rsid w:val="00C4396B"/>
    <w:rsid w:val="00C44E1C"/>
    <w:rsid w:val="00C517C3"/>
    <w:rsid w:val="00C57C52"/>
    <w:rsid w:val="00C61284"/>
    <w:rsid w:val="00C64C2D"/>
    <w:rsid w:val="00C64EF9"/>
    <w:rsid w:val="00C65803"/>
    <w:rsid w:val="00C65D7A"/>
    <w:rsid w:val="00C70950"/>
    <w:rsid w:val="00C73B88"/>
    <w:rsid w:val="00C7441F"/>
    <w:rsid w:val="00C93DF2"/>
    <w:rsid w:val="00C94FC7"/>
    <w:rsid w:val="00C96505"/>
    <w:rsid w:val="00CB3357"/>
    <w:rsid w:val="00CC6A26"/>
    <w:rsid w:val="00CC798E"/>
    <w:rsid w:val="00CC7DF4"/>
    <w:rsid w:val="00CD0B06"/>
    <w:rsid w:val="00CD108F"/>
    <w:rsid w:val="00CD7207"/>
    <w:rsid w:val="00CE3D07"/>
    <w:rsid w:val="00D0054E"/>
    <w:rsid w:val="00D03602"/>
    <w:rsid w:val="00D11A73"/>
    <w:rsid w:val="00D1457A"/>
    <w:rsid w:val="00D14881"/>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B45F5"/>
    <w:rsid w:val="00DC1D5F"/>
    <w:rsid w:val="00DC475C"/>
    <w:rsid w:val="00DC4BC6"/>
    <w:rsid w:val="00DD1E0B"/>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51F38"/>
    <w:rsid w:val="00F6026D"/>
    <w:rsid w:val="00F67981"/>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paragraph" w:styleId="Heading5">
    <w:name w:val="heading 5"/>
    <w:basedOn w:val="Normal"/>
    <w:next w:val="Normal"/>
    <w:link w:val="Heading5Char"/>
    <w:semiHidden/>
    <w:unhideWhenUsed/>
    <w:qFormat/>
    <w:rsid w:val="00777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 w:type="paragraph" w:styleId="Header">
    <w:name w:val="header"/>
    <w:basedOn w:val="Normal"/>
    <w:link w:val="HeaderChar"/>
    <w:uiPriority w:val="99"/>
    <w:rsid w:val="00B03BAE"/>
    <w:pPr>
      <w:tabs>
        <w:tab w:val="center" w:pos="4680"/>
        <w:tab w:val="right" w:pos="9360"/>
      </w:tabs>
    </w:pPr>
  </w:style>
  <w:style w:type="character" w:customStyle="1" w:styleId="HeaderChar">
    <w:name w:val="Header Char"/>
    <w:basedOn w:val="DefaultParagraphFont"/>
    <w:link w:val="Header"/>
    <w:uiPriority w:val="99"/>
    <w:rsid w:val="00B03BAE"/>
    <w:rPr>
      <w:sz w:val="24"/>
      <w:szCs w:val="24"/>
    </w:rPr>
  </w:style>
  <w:style w:type="paragraph" w:styleId="Footer">
    <w:name w:val="footer"/>
    <w:basedOn w:val="Normal"/>
    <w:link w:val="FooterChar"/>
    <w:rsid w:val="00B03BAE"/>
    <w:pPr>
      <w:tabs>
        <w:tab w:val="center" w:pos="4680"/>
        <w:tab w:val="right" w:pos="9360"/>
      </w:tabs>
    </w:pPr>
  </w:style>
  <w:style w:type="character" w:customStyle="1" w:styleId="FooterChar">
    <w:name w:val="Footer Char"/>
    <w:basedOn w:val="DefaultParagraphFont"/>
    <w:link w:val="Footer"/>
    <w:rsid w:val="00B03BAE"/>
    <w:rPr>
      <w:sz w:val="24"/>
      <w:szCs w:val="24"/>
    </w:rPr>
  </w:style>
  <w:style w:type="paragraph" w:customStyle="1" w:styleId="TableParagraph">
    <w:name w:val="Table Paragraph"/>
    <w:basedOn w:val="Normal"/>
    <w:uiPriority w:val="1"/>
    <w:qFormat/>
    <w:rsid w:val="00694DA9"/>
    <w:pPr>
      <w:widowControl w:val="0"/>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7779B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4A371-3DA9-43D8-9C0B-6F5149F6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7</cp:revision>
  <cp:lastPrinted>2015-06-05T12:32:00Z</cp:lastPrinted>
  <dcterms:created xsi:type="dcterms:W3CDTF">2015-06-05T12:07:00Z</dcterms:created>
  <dcterms:modified xsi:type="dcterms:W3CDTF">2015-06-05T12:49:00Z</dcterms:modified>
</cp:coreProperties>
</file>